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tblPrEx>
          <w:tblCellMar>
            <w:top w:w="0" w:type="dxa"/>
            <w:left w:w="0" w:type="dxa"/>
            <w:bottom w:w="0" w:type="dxa"/>
            <w:right w:w="0" w:type="dxa"/>
          </w:tblCellMar>
        </w:tblPrEx>
        <w:tc>
          <w:tcPr>
            <w:tcW w:w="509" w:type="dxa"/>
            <w:shd w:val="clear" w:color="auto" w:fill="auto"/>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shd w:val="clear" w:color="auto" w:fill="auto"/>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CellMar>
            <w:top w:w="0" w:type="dxa"/>
            <w:left w:w="0" w:type="dxa"/>
            <w:bottom w:w="0" w:type="dxa"/>
            <w:right w:w="0" w:type="dxa"/>
          </w:tblCellMar>
        </w:tblPrEx>
        <w:tc>
          <w:tcPr>
            <w:tcW w:w="509" w:type="dxa"/>
            <w:shd w:val="clear" w:color="auto" w:fill="auto"/>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shd w:val="clear" w:color="auto" w:fill="auto"/>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ascii="黑体" w:hAnsi="黑体" w:eastAsia="黑体"/>
                <w:sz w:val="21"/>
                <w:szCs w:val="21"/>
              </w:rPr>
              <w:t xml:space="preserve"> 05</w:t>
            </w:r>
            <w:r>
              <w:rPr>
                <w:rFonts w:ascii="黑体" w:hAnsi="黑体" w:eastAsia="黑体"/>
                <w:sz w:val="21"/>
                <w:szCs w:val="21"/>
              </w:rPr>
              <w:fldChar w:fldCharType="end"/>
            </w:r>
            <w:bookmarkEnd w:id="1"/>
          </w:p>
        </w:tc>
      </w:tr>
    </w:tbl>
    <w:p>
      <w:pPr>
        <w:rPr>
          <w:vanish/>
        </w:rPr>
      </w:pPr>
      <w:bookmarkStart w:id="2" w:name="_Hlk26473981"/>
    </w:p>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shd w:val="clear" w:color="auto" w:fill="auto"/>
          </w:tcPr>
          <w:p>
            <w:pPr>
              <w:pStyle w:val="49"/>
              <w:framePr w:w="0" w:hRule="auto" w:wrap="auto" w:vAnchor="margin" w:hAnchor="text" w:xAlign="left" w:yAlign="inline"/>
              <w:rPr>
                <w:rFonts w:ascii="宋体" w:hAnsi="宋体"/>
                <w:sz w:val="28"/>
                <w:szCs w:val="28"/>
              </w:rPr>
            </w:pPr>
            <w:r>
              <w:drawing>
                <wp:inline distT="0" distB="0" distL="0" distR="0">
                  <wp:extent cx="793115" cy="3911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93115" cy="391160"/>
                          </a:xfrm>
                          <a:prstGeom prst="rect">
                            <a:avLst/>
                          </a:prstGeom>
                          <a:noFill/>
                          <a:ln>
                            <a:noFill/>
                          </a:ln>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X</w:t>
      </w:r>
      <w:r>
        <w:rPr>
          <w:rFonts w:hint="eastAsia"/>
          <w:lang w:val="en-US" w:eastAsia="zh-CN"/>
        </w:rPr>
        <w:t>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代替DB</w:t>
      </w:r>
      <w:r>
        <w:rPr>
          <w:rFonts w:hAnsi="黑体"/>
        </w:rPr>
        <w:t>14/T 1125-2015</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ANPiPe6gEAALoDAAAOAAAAAAAAAAEAIAAAACcBAABkcnMvZTJvRG9jLnhtbFBLBQYAAAAABgAG&#10;AFkBAACDBQ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玉露香梨贮藏技术规程 </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U8lY26AEAALg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4rPuPMCUsD&#10;v//84+7T118/v9B5//0bmyWROo8lxS7dOiSasnc3/hrkR2QOlq1wW5WbvT14QpikjOKvlGSgp1Kb&#10;7i3UFCN2EbJifRNsgiQtWJ8HczgPRvWRSXq8mJA6L2lm8uQrRHlK9AHjGwWWpUvFjXZJM1GK/TXG&#10;1IgoTyHp2cGVNibP3TjWVfz1bDrL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mp0YvX&#10;AAAADgEAAA8AAAAAAAAAAQAgAAAAIgAAAGRycy9kb3ducmV2LnhtbFBLAQIUABQAAAAIAIdO4kCU&#10;8lY26AEAALgDAAAOAAAAAAAAAAEAIAAAACYBAABkcnMvZTJvRG9jLnhtbFBLBQYAAAAABgAGAFkB&#10;AACABQA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90042487"/>
      <w:bookmarkStart w:id="23" w:name="_Toc90042509"/>
      <w:bookmarkStart w:id="24" w:name="_Toc90042653"/>
      <w:r>
        <w:rPr>
          <w:rFonts w:hint="eastAsia"/>
          <w:spacing w:val="320"/>
        </w:rPr>
        <w:t>目</w:t>
      </w:r>
      <w:r>
        <w:rPr>
          <w:rFonts w:hint="eastAsia"/>
        </w:rPr>
        <w:t>次</w:t>
      </w:r>
    </w:p>
    <w:p>
      <w:pPr>
        <w:pStyle w:val="19"/>
        <w:tabs>
          <w:tab w:val="right" w:leader="dot" w:pos="9344"/>
        </w:tabs>
        <w:rPr>
          <w:rFonts w:hint="eastAsia" w:eastAsia="宋体" w:asciiTheme="minorHAnsi" w:hAnsiTheme="minorHAnsi" w:cstheme="minorBidi"/>
          <w:szCs w:val="22"/>
          <w:lang w:val="en-US" w:eastAsia="zh-CN"/>
        </w:rPr>
      </w:pPr>
      <w:r>
        <w:fldChar w:fldCharType="begin"/>
      </w:r>
      <w:r>
        <w:instrText xml:space="preserve"> TOC \o "1-1" \h </w:instrText>
      </w:r>
      <w:r>
        <w:fldChar w:fldCharType="separate"/>
      </w:r>
      <w:r>
        <w:fldChar w:fldCharType="begin"/>
      </w:r>
      <w:r>
        <w:instrText xml:space="preserve"> HYPERLINK \l "_Toc156037821" </w:instrText>
      </w:r>
      <w:r>
        <w:fldChar w:fldCharType="separate"/>
      </w:r>
      <w:r>
        <w:rPr>
          <w:rStyle w:val="32"/>
        </w:rPr>
        <w:t>前言</w:t>
      </w:r>
      <w:r>
        <w:tab/>
      </w:r>
      <w:r>
        <w:rPr>
          <w:rFonts w:hint="eastAsia" w:ascii="宋体" w:hAnsi="宋体" w:eastAsia="宋体" w:cs="宋体"/>
        </w:rPr>
        <w:t>Ⅱ</w:t>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"_Toc156037823" </w:instrText>
      </w:r>
      <w:r>
        <w:fldChar w:fldCharType="separate"/>
      </w:r>
      <w:r>
        <w:rPr>
          <w:rStyle w:val="32"/>
          <w:rFonts w:ascii="黑体"/>
        </w:rPr>
        <w:t>1</w:t>
      </w:r>
      <w:r>
        <w:rPr>
          <w:rStyle w:val="32"/>
        </w:rPr>
        <w:t>范围</w:t>
      </w:r>
      <w:r>
        <w:tab/>
      </w:r>
      <w:r>
        <w:fldChar w:fldCharType="begin"/>
      </w:r>
      <w:r>
        <w:instrText xml:space="preserve"> PAGEREF _Toc156037823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"_Toc156037824" </w:instrText>
      </w:r>
      <w:r>
        <w:fldChar w:fldCharType="separate"/>
      </w:r>
      <w:r>
        <w:rPr>
          <w:rStyle w:val="32"/>
          <w:rFonts w:ascii="黑体"/>
        </w:rPr>
        <w:t>2</w:t>
      </w:r>
      <w:r>
        <w:rPr>
          <w:rStyle w:val="32"/>
        </w:rPr>
        <w:t>规范性引用文件</w:t>
      </w:r>
      <w:r>
        <w:tab/>
      </w:r>
      <w:r>
        <w:fldChar w:fldCharType="begin"/>
      </w:r>
      <w:r>
        <w:instrText xml:space="preserve"> PAGEREF _Toc156037824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"_Toc156037825" </w:instrText>
      </w:r>
      <w:r>
        <w:fldChar w:fldCharType="separate"/>
      </w:r>
      <w:r>
        <w:rPr>
          <w:rStyle w:val="32"/>
          <w:rFonts w:ascii="黑体"/>
        </w:rPr>
        <w:t>3</w:t>
      </w:r>
      <w:r>
        <w:rPr>
          <w:rStyle w:val="32"/>
        </w:rPr>
        <w:t>术语和定义</w:t>
      </w:r>
      <w:r>
        <w:tab/>
      </w:r>
      <w:r>
        <w:fldChar w:fldCharType="begin"/>
      </w:r>
      <w:r>
        <w:instrText xml:space="preserve"> PAGEREF _Toc156037825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"_Toc156037826" </w:instrText>
      </w:r>
      <w:r>
        <w:fldChar w:fldCharType="separate"/>
      </w:r>
      <w:r>
        <w:rPr>
          <w:rStyle w:val="32"/>
          <w:rFonts w:ascii="黑体"/>
        </w:rPr>
        <w:t>4</w:t>
      </w:r>
      <w:r>
        <w:rPr>
          <w:rStyle w:val="32"/>
        </w:rPr>
        <w:t>采收</w:t>
      </w:r>
      <w:r>
        <w:tab/>
      </w:r>
      <w:r>
        <w:fldChar w:fldCharType="begin"/>
      </w:r>
      <w:r>
        <w:instrText xml:space="preserve"> PAGEREF _Toc156037826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"_Toc156037827" </w:instrText>
      </w:r>
      <w:r>
        <w:fldChar w:fldCharType="separate"/>
      </w:r>
      <w:r>
        <w:rPr>
          <w:rStyle w:val="32"/>
          <w:rFonts w:ascii="黑体"/>
        </w:rPr>
        <w:t>5</w:t>
      </w:r>
      <w:r>
        <w:rPr>
          <w:rStyle w:val="32"/>
        </w:rPr>
        <w:t>贮藏果质量</w:t>
      </w:r>
      <w:r>
        <w:tab/>
      </w:r>
      <w:r>
        <w:fldChar w:fldCharType="begin"/>
      </w:r>
      <w:r>
        <w:instrText xml:space="preserve"> PAGEREF _Toc156037827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"_Toc156037828" </w:instrText>
      </w:r>
      <w:r>
        <w:fldChar w:fldCharType="separate"/>
      </w:r>
      <w:r>
        <w:rPr>
          <w:rStyle w:val="32"/>
          <w:rFonts w:ascii="黑体"/>
        </w:rPr>
        <w:t>6</w:t>
      </w:r>
      <w:r>
        <w:rPr>
          <w:rStyle w:val="32"/>
        </w:rPr>
        <w:t>入库与</w:t>
      </w:r>
      <w:r>
        <w:rPr>
          <w:rStyle w:val="32"/>
          <w:rFonts w:hint="eastAsia"/>
        </w:rPr>
        <w:t>预冷</w:t>
      </w:r>
      <w:r>
        <w:tab/>
      </w:r>
      <w:r>
        <w:rPr>
          <w:rFonts w:hint="eastAsia"/>
          <w:lang w:val="en-US" w:eastAsia="zh-CN"/>
        </w:rPr>
        <w:t>5</w:t>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"_Toc156037829" </w:instrText>
      </w:r>
      <w:r>
        <w:fldChar w:fldCharType="separate"/>
      </w:r>
      <w:r>
        <w:rPr>
          <w:rStyle w:val="32"/>
          <w:rFonts w:ascii="黑体"/>
        </w:rPr>
        <w:t>7</w:t>
      </w:r>
      <w:r>
        <w:rPr>
          <w:rStyle w:val="32"/>
        </w:rPr>
        <w:t>码垛</w:t>
      </w:r>
      <w:r>
        <w:tab/>
      </w:r>
      <w:r>
        <w:t>6</w:t>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"_Toc156037830" </w:instrText>
      </w:r>
      <w:r>
        <w:fldChar w:fldCharType="separate"/>
      </w:r>
      <w:r>
        <w:rPr>
          <w:rStyle w:val="32"/>
          <w:rFonts w:ascii="黑体"/>
        </w:rPr>
        <w:t>8</w:t>
      </w:r>
      <w:r>
        <w:rPr>
          <w:rStyle w:val="32"/>
        </w:rPr>
        <w:t>贮藏</w:t>
      </w:r>
      <w:r>
        <w:rPr>
          <w:rStyle w:val="32"/>
          <w:rFonts w:hint="eastAsia"/>
        </w:rPr>
        <w:t>要求</w:t>
      </w:r>
      <w:r>
        <w:tab/>
      </w:r>
      <w:r>
        <w:t>6</w:t>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"_Toc156037832" </w:instrText>
      </w:r>
      <w:r>
        <w:fldChar w:fldCharType="separate"/>
      </w:r>
      <w:r>
        <w:rPr>
          <w:rStyle w:val="32"/>
          <w:rFonts w:ascii="黑体"/>
        </w:rPr>
        <w:t>9</w:t>
      </w:r>
      <w:r>
        <w:rPr>
          <w:rStyle w:val="32"/>
        </w:rPr>
        <w:t>其它辅助保鲜措施</w:t>
      </w:r>
      <w:r>
        <w:tab/>
      </w:r>
      <w:r>
        <w:t>7</w:t>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"_Toc156037834" </w:instrText>
      </w:r>
      <w:r>
        <w:fldChar w:fldCharType="separate"/>
      </w:r>
      <w:r>
        <w:rPr>
          <w:rStyle w:val="32"/>
          <w:rFonts w:ascii="黑体"/>
        </w:rPr>
        <w:t>10</w:t>
      </w:r>
      <w:r>
        <w:rPr>
          <w:rStyle w:val="32"/>
        </w:rPr>
        <w:t>出库</w:t>
      </w:r>
      <w:r>
        <w:tab/>
      </w:r>
      <w:r>
        <w:fldChar w:fldCharType="begin"/>
      </w:r>
      <w:r>
        <w:instrText xml:space="preserve"> PAGEREF _Toc156037834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"_Toc156037833" </w:instrText>
      </w:r>
      <w:r>
        <w:fldChar w:fldCharType="separate"/>
      </w:r>
      <w:r>
        <w:rPr>
          <w:rStyle w:val="32"/>
          <w:rFonts w:ascii="黑体"/>
        </w:rPr>
        <w:t>11</w:t>
      </w:r>
      <w:r>
        <w:rPr>
          <w:rStyle w:val="32"/>
        </w:rPr>
        <w:t>风险控制</w:t>
      </w:r>
      <w:r>
        <w:tab/>
      </w:r>
      <w:r>
        <w:fldChar w:fldCharType="begin"/>
      </w:r>
      <w:r>
        <w:instrText xml:space="preserve"> PAGEREF _Toc156037833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"_Toc156037835" </w:instrText>
      </w:r>
      <w:r>
        <w:fldChar w:fldCharType="separate"/>
      </w:r>
      <w:r>
        <w:rPr>
          <w:rStyle w:val="32"/>
          <w:rFonts w:ascii="黑体"/>
        </w:rPr>
        <w:t>12</w:t>
      </w:r>
      <w:r>
        <w:rPr>
          <w:rStyle w:val="32"/>
        </w:rPr>
        <w:t>贮藏档案</w:t>
      </w:r>
      <w:r>
        <w:tab/>
      </w:r>
      <w:r>
        <w:fldChar w:fldCharType="begin"/>
      </w:r>
      <w:r>
        <w:instrText xml:space="preserve"> PAGEREF _Toc156037835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"_Toc156037836" </w:instrText>
      </w:r>
      <w:r>
        <w:fldChar w:fldCharType="separate"/>
      </w:r>
      <w:r>
        <w:rPr>
          <w:rStyle w:val="32"/>
        </w:rPr>
        <w:t>附录A（规范性附录）</w:t>
      </w:r>
      <w:r>
        <w:rPr>
          <w:rStyle w:val="32"/>
          <w:rFonts w:hint="eastAsia"/>
        </w:rPr>
        <w:t>梨种子颜色分级</w:t>
      </w:r>
      <w:r>
        <w:tab/>
      </w:r>
      <w:r>
        <w:fldChar w:fldCharType="begin"/>
      </w:r>
      <w:r>
        <w:instrText xml:space="preserve"> PAGEREF _Toc156037836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"_Toc156037837" </w:instrText>
      </w:r>
      <w:r>
        <w:fldChar w:fldCharType="separate"/>
      </w:r>
      <w:r>
        <w:rPr>
          <w:rStyle w:val="32"/>
        </w:rPr>
        <w:t>附录B（规范性附录）玉露香梨贮藏病害及防控措施</w:t>
      </w:r>
      <w:r>
        <w:tab/>
      </w:r>
      <w:r>
        <w:fldChar w:fldCharType="begin"/>
      </w:r>
      <w:r>
        <w:instrText xml:space="preserve"> PAGEREF _Toc156037837 \h </w:instrText>
      </w:r>
      <w:r>
        <w:fldChar w:fldCharType="separate"/>
      </w:r>
      <w:r>
        <w:t>9</w:t>
      </w:r>
      <w:r>
        <w:fldChar w:fldCharType="end"/>
      </w:r>
      <w:r>
        <w:fldChar w:fldCharType="end"/>
      </w:r>
    </w:p>
    <w:p>
      <w:pPr>
        <w:pStyle w:val="91"/>
        <w:spacing w:after="468"/>
        <w:sectPr>
          <w:headerReference r:id="rId11" w:type="default"/>
          <w:footerReference r:id="rId12" w:type="default"/>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bookmarkEnd w:id="22"/>
    <w:bookmarkEnd w:id="23"/>
    <w:bookmarkEnd w:id="24"/>
    <w:p>
      <w:pPr>
        <w:pStyle w:val="91"/>
        <w:spacing w:after="468"/>
        <w:rPr>
          <w:rFonts w:hint="eastAsia"/>
          <w:spacing w:val="320"/>
        </w:rPr>
      </w:pPr>
      <w:bookmarkStart w:id="25" w:name="_Toc111198209"/>
      <w:bookmarkStart w:id="26" w:name="BookMark2"/>
      <w:r>
        <w:rPr>
          <w:rFonts w:hint="eastAsia"/>
          <w:spacing w:val="320"/>
        </w:rPr>
        <w:t>前言</w:t>
      </w:r>
      <w:bookmarkEnd w:id="25"/>
    </w:p>
    <w:p>
      <w:pPr>
        <w:ind w:firstLine="420" w:firstLineChars="200"/>
        <w:rPr>
          <w:rFonts w:ascii="Times New Roman" w:hAnsi="Times New Roman"/>
        </w:rPr>
      </w:pPr>
      <w:r>
        <w:rPr>
          <w:rFonts w:ascii="Times New Roman" w:hAnsi="Times New Roman"/>
        </w:rPr>
        <w:t>本文件按照GB/T 1.1—2020《标准化工作导则</w:t>
      </w:r>
      <w:r>
        <w:rPr>
          <w:rFonts w:hint="eastAsia" w:ascii="Times New Roman" w:hAnsi="Times New Roman"/>
          <w:lang w:val="en-US" w:eastAsia="zh-CN"/>
        </w:rPr>
        <w:t xml:space="preserve">  </w:t>
      </w:r>
      <w:r>
        <w:rPr>
          <w:rFonts w:ascii="Times New Roman" w:hAnsi="Times New Roman"/>
        </w:rPr>
        <w:t>第1部分：标准化文件的结构和起草规则》的规定起草。</w:t>
      </w:r>
    </w:p>
    <w:p>
      <w:pPr>
        <w:ind w:firstLine="420" w:firstLineChars="200"/>
      </w:pPr>
      <w:r>
        <w:rPr>
          <w:rFonts w:hint="eastAsia"/>
        </w:rPr>
        <w:t>本文</w:t>
      </w:r>
      <w:r>
        <w:rPr>
          <w:rFonts w:ascii="Times New Roman" w:hAnsi="Times New Roman"/>
        </w:rPr>
        <w:t>件代替DB14/T 1125—2015《玉露香梨贮藏技术规程》，与DB14/T 1125—2015相比，除结构调整和编辑性改动外，主要技术变化如下</w:t>
      </w:r>
      <w:r>
        <w:rPr>
          <w:rFonts w:hint="eastAsia" w:ascii="Times New Roman" w:hAnsi="Times New Roman"/>
        </w:rPr>
        <w:t>：</w:t>
      </w:r>
    </w:p>
    <w:p>
      <w:pPr>
        <w:ind w:firstLine="420" w:firstLineChars="200"/>
        <w:rPr>
          <w:rFonts w:ascii="Times New Roman" w:hAnsi="Times New Roman"/>
        </w:rPr>
      </w:pPr>
      <w:r>
        <w:rPr>
          <w:rFonts w:hint="eastAsia" w:ascii="Times New Roman" w:hAnsi="Times New Roman"/>
        </w:rPr>
        <w:t>——更改了表1内容（见</w:t>
      </w:r>
      <w:r>
        <w:rPr>
          <w:rFonts w:ascii="Times New Roman" w:hAnsi="Times New Roman"/>
        </w:rPr>
        <w:t>4.2</w:t>
      </w:r>
      <w:r>
        <w:rPr>
          <w:rFonts w:hint="eastAsia" w:ascii="Times New Roman" w:hAnsi="Times New Roman"/>
        </w:rPr>
        <w:t>）；</w:t>
      </w:r>
    </w:p>
    <w:p>
      <w:pPr>
        <w:ind w:firstLine="420" w:firstLineChars="200"/>
        <w:rPr>
          <w:rFonts w:ascii="Times New Roman" w:hAnsi="Times New Roman"/>
        </w:rPr>
      </w:pPr>
      <w:r>
        <w:rPr>
          <w:rFonts w:hint="eastAsia" w:ascii="Times New Roman" w:hAnsi="Times New Roman"/>
        </w:rPr>
        <w:t>——增加了预冷内容（见</w:t>
      </w:r>
      <w:r>
        <w:rPr>
          <w:rFonts w:ascii="Times New Roman" w:hAnsi="Times New Roman"/>
        </w:rPr>
        <w:t>6</w:t>
      </w:r>
      <w:r>
        <w:rPr>
          <w:rFonts w:hint="eastAsia" w:ascii="Times New Roman" w:hAnsi="Times New Roman"/>
        </w:rPr>
        <w:t>）；</w:t>
      </w:r>
    </w:p>
    <w:p>
      <w:pPr>
        <w:ind w:firstLine="420" w:firstLineChars="200"/>
        <w:rPr>
          <w:rFonts w:ascii="Times New Roman" w:hAnsi="Times New Roman"/>
        </w:rPr>
      </w:pPr>
      <w:r>
        <w:rPr>
          <w:rFonts w:hint="eastAsia" w:ascii="Times New Roman" w:hAnsi="Times New Roman"/>
        </w:rPr>
        <w:t>——更改了冷藏库通风管理内容（见</w:t>
      </w:r>
      <w:r>
        <w:rPr>
          <w:rFonts w:ascii="Times New Roman" w:hAnsi="Times New Roman"/>
        </w:rPr>
        <w:t>8.1.3</w:t>
      </w:r>
      <w:r>
        <w:rPr>
          <w:rFonts w:hint="eastAsia" w:ascii="Times New Roman" w:hAnsi="Times New Roman"/>
        </w:rPr>
        <w:t>）。</w:t>
      </w:r>
    </w:p>
    <w:p>
      <w:pPr>
        <w:ind w:firstLine="420" w:firstLineChars="200"/>
      </w:pPr>
      <w:r>
        <w:rPr>
          <w:rFonts w:hint="eastAsia"/>
        </w:rPr>
        <w:t>本文件由山西省农业农村厅提出、组织实施和监督检查。</w:t>
      </w:r>
    </w:p>
    <w:p>
      <w:pPr>
        <w:ind w:firstLine="420" w:firstLineChars="200"/>
      </w:pPr>
      <w:r>
        <w:rPr>
          <w:rFonts w:hint="eastAsia"/>
        </w:rPr>
        <w:t>本文件由山西省市场监督管理局对标准的组织实施情况进行监督检查。</w:t>
      </w:r>
    </w:p>
    <w:p>
      <w:pPr>
        <w:ind w:firstLine="420" w:firstLineChars="200"/>
      </w:pPr>
      <w:r>
        <w:rPr>
          <w:rFonts w:hint="eastAsia"/>
        </w:rPr>
        <w:t>本文件由山西省农业标准化技术委员会</w:t>
      </w:r>
      <w:r>
        <w:rPr>
          <w:rFonts w:ascii="Times New Roman" w:hAnsi="Times New Roman"/>
        </w:rPr>
        <w:t>（SXS/TC19）</w:t>
      </w:r>
      <w:r>
        <w:rPr>
          <w:rFonts w:hint="eastAsia"/>
        </w:rPr>
        <w:t>归口。</w:t>
      </w:r>
    </w:p>
    <w:p>
      <w:pPr>
        <w:ind w:firstLine="420" w:firstLineChars="200"/>
      </w:pPr>
      <w:r>
        <w:rPr>
          <w:rFonts w:hint="eastAsia"/>
        </w:rPr>
        <w:t>本文件起草单位：</w:t>
      </w:r>
      <w:r>
        <w:rPr>
          <w:rFonts w:hAnsi="宋体"/>
        </w:rPr>
        <w:t>山西</w:t>
      </w:r>
      <w:r>
        <w:rPr>
          <w:rFonts w:hint="eastAsia" w:hAnsi="宋体"/>
        </w:rPr>
        <w:t>农业大学</w:t>
      </w:r>
      <w:r>
        <w:rPr>
          <w:rFonts w:hAnsi="宋体"/>
        </w:rPr>
        <w:t>果树研究所、中国农业科学院果树研究所。</w:t>
      </w:r>
    </w:p>
    <w:p>
      <w:pPr>
        <w:ind w:left="210" w:leftChars="100" w:firstLine="210" w:firstLineChars="100"/>
      </w:pPr>
      <w:r>
        <w:rPr>
          <w:rFonts w:hint="eastAsia"/>
        </w:rPr>
        <w:t>本文件主要起草人：</w:t>
      </w:r>
      <w:r>
        <w:rPr>
          <w:rFonts w:hint="eastAsia" w:hAnsi="宋体"/>
        </w:rPr>
        <w:t>杨盛</w:t>
      </w:r>
      <w:r>
        <w:rPr>
          <w:rFonts w:hint="eastAsia" w:hAnsi="宋体"/>
          <w:lang w:eastAsia="zh-CN"/>
        </w:rPr>
        <w:t>、</w:t>
      </w:r>
      <w:r>
        <w:rPr>
          <w:rFonts w:hint="eastAsia" w:hAnsi="宋体"/>
        </w:rPr>
        <w:t>郝国伟</w:t>
      </w:r>
      <w:r>
        <w:rPr>
          <w:rFonts w:hint="eastAsia" w:hAnsi="宋体"/>
          <w:lang w:val="en-US" w:eastAsia="zh-CN"/>
        </w:rPr>
        <w:t>、</w:t>
      </w:r>
      <w:r>
        <w:rPr>
          <w:rFonts w:hint="eastAsia" w:hAnsi="宋体"/>
        </w:rPr>
        <w:t>张晓伟</w:t>
      </w:r>
      <w:r>
        <w:rPr>
          <w:rFonts w:hint="eastAsia" w:hAnsi="宋体"/>
          <w:lang w:val="en-US" w:eastAsia="zh-CN"/>
        </w:rPr>
        <w:t>、</w:t>
      </w:r>
      <w:r>
        <w:rPr>
          <w:rFonts w:hint="eastAsia" w:hAnsi="宋体"/>
        </w:rPr>
        <w:t>白牡丹</w:t>
      </w:r>
      <w:r>
        <w:rPr>
          <w:rFonts w:hint="eastAsia" w:hAnsi="宋体"/>
          <w:lang w:val="en-US" w:eastAsia="zh-CN"/>
        </w:rPr>
        <w:t>、</w:t>
      </w:r>
      <w:r>
        <w:rPr>
          <w:rFonts w:hint="eastAsia" w:hAnsi="宋体"/>
        </w:rPr>
        <w:t>王文辉</w:t>
      </w:r>
      <w:r>
        <w:rPr>
          <w:rFonts w:hint="eastAsia" w:hAnsi="宋体"/>
          <w:lang w:val="en-US" w:eastAsia="zh-CN"/>
        </w:rPr>
        <w:t>、</w:t>
      </w:r>
      <w:r>
        <w:rPr>
          <w:rFonts w:hint="eastAsia" w:hAnsi="宋体"/>
        </w:rPr>
        <w:t>贾晓辉</w:t>
      </w:r>
      <w:r>
        <w:rPr>
          <w:rFonts w:hint="eastAsia" w:hAnsi="宋体"/>
          <w:lang w:eastAsia="zh-CN"/>
        </w:rPr>
        <w:t>、</w:t>
      </w:r>
      <w:r>
        <w:rPr>
          <w:rFonts w:hint="eastAsia" w:hAnsi="宋体"/>
        </w:rPr>
        <w:t>张鑫楠</w:t>
      </w:r>
      <w:r>
        <w:rPr>
          <w:rFonts w:hint="eastAsia" w:hAnsi="宋体"/>
          <w:lang w:val="en-US" w:eastAsia="zh-CN"/>
        </w:rPr>
        <w:t>、</w:t>
      </w:r>
      <w:r>
        <w:rPr>
          <w:rFonts w:hint="eastAsia" w:hAnsi="宋体"/>
        </w:rPr>
        <w:t>王志华</w:t>
      </w:r>
      <w:r>
        <w:rPr>
          <w:rFonts w:hint="eastAsia" w:hAnsi="宋体"/>
          <w:lang w:val="en-US" w:eastAsia="zh-CN"/>
        </w:rPr>
        <w:t>、</w:t>
      </w:r>
      <w:r>
        <w:rPr>
          <w:rFonts w:hint="eastAsia" w:hAnsi="宋体"/>
        </w:rPr>
        <w:t>王燕平</w:t>
      </w:r>
      <w:r>
        <w:rPr>
          <w:rFonts w:hint="eastAsia" w:hAnsi="宋体"/>
          <w:lang w:val="en-US" w:eastAsia="zh-CN"/>
        </w:rPr>
        <w:t>、</w:t>
      </w:r>
      <w:r>
        <w:rPr>
          <w:rFonts w:hint="eastAsia" w:hAnsi="宋体"/>
        </w:rPr>
        <w:t>刘晓宇</w:t>
      </w:r>
      <w:r>
        <w:rPr>
          <w:rFonts w:hint="eastAsia" w:hAnsi="宋体"/>
          <w:lang w:eastAsia="zh-CN"/>
        </w:rPr>
        <w:t>、</w:t>
      </w:r>
      <w:r>
        <w:rPr>
          <w:rFonts w:hint="eastAsia" w:hAnsi="宋体"/>
        </w:rPr>
        <w:t>杜艳民</w:t>
      </w:r>
      <w:r>
        <w:rPr>
          <w:rFonts w:hint="eastAsia" w:hAnsi="宋体"/>
          <w:lang w:val="en-US" w:eastAsia="zh-CN"/>
        </w:rPr>
        <w:t>、</w:t>
      </w:r>
      <w:r>
        <w:rPr>
          <w:rFonts w:hint="eastAsia" w:hAnsi="宋体"/>
        </w:rPr>
        <w:t>佟伟</w:t>
      </w:r>
      <w:r>
        <w:rPr>
          <w:rFonts w:hint="eastAsia" w:hAnsi="宋体"/>
          <w:lang w:val="en-US" w:eastAsia="zh-CN"/>
        </w:rPr>
        <w:t>、</w:t>
      </w:r>
      <w:r>
        <w:rPr>
          <w:rFonts w:hint="eastAsia" w:hAnsi="宋体"/>
        </w:rPr>
        <w:t>曹阳</w:t>
      </w:r>
      <w:r>
        <w:rPr>
          <w:rFonts w:hint="eastAsia" w:hAnsi="宋体"/>
          <w:lang w:val="en-US" w:eastAsia="zh-CN"/>
        </w:rPr>
        <w:t>、</w:t>
      </w:r>
      <w:r>
        <w:rPr>
          <w:rFonts w:hint="eastAsia" w:hAnsi="宋体"/>
        </w:rPr>
        <w:t>朱凯</w:t>
      </w:r>
      <w:r>
        <w:rPr>
          <w:rFonts w:hint="eastAsia" w:hAnsi="宋体"/>
          <w:lang w:val="en-US" w:eastAsia="zh-CN"/>
        </w:rPr>
        <w:t>、</w:t>
      </w:r>
      <w:r>
        <w:rPr>
          <w:rFonts w:hint="eastAsia" w:hAnsi="宋体"/>
        </w:rPr>
        <w:t>梁海刚。</w:t>
      </w:r>
    </w:p>
    <w:p>
      <w:pPr>
        <w:ind w:firstLine="420" w:firstLineChars="200"/>
      </w:pPr>
      <w:r>
        <w:rPr>
          <w:rFonts w:hint="eastAsia"/>
        </w:rPr>
        <w:t>本文件及其所代替文件的历次版本发布情况为：</w:t>
      </w:r>
    </w:p>
    <w:p>
      <w:pPr>
        <w:ind w:firstLine="420" w:firstLineChars="200"/>
      </w:pPr>
      <w:r>
        <w:rPr>
          <w:rFonts w:hint="eastAsia"/>
        </w:rPr>
        <w:t>——</w:t>
      </w:r>
      <w:r>
        <w:rPr>
          <w:rFonts w:ascii="Times New Roman" w:hAnsi="Times New Roman"/>
        </w:rPr>
        <w:t>2015年首次发布为DB14/T 1125—2015；</w:t>
      </w:r>
    </w:p>
    <w:p>
      <w:pPr>
        <w:ind w:firstLine="420" w:firstLineChars="200"/>
      </w:pPr>
      <w:r>
        <w:rPr>
          <w:rFonts w:hint="eastAsia"/>
        </w:rPr>
        <w:t>——本次为第一次修订。</w:t>
      </w:r>
    </w:p>
    <w:p>
      <w:pPr>
        <w:ind w:firstLine="420" w:firstLineChars="200"/>
      </w:pPr>
    </w:p>
    <w:p>
      <w:pPr>
        <w:ind w:firstLine="420" w:firstLineChars="200"/>
        <w:sectPr>
          <w:pgSz w:w="11906" w:h="16838"/>
          <w:pgMar w:top="2410" w:right="1134" w:bottom="1134" w:left="1134" w:header="1418" w:footer="1134" w:gutter="284"/>
          <w:pgNumType w:fmt="upperRoman"/>
          <w:cols w:space="425" w:num="1"/>
          <w:formProt w:val="0"/>
          <w:docGrid w:type="lines" w:linePitch="312" w:charSpace="0"/>
        </w:sectPr>
      </w:pPr>
    </w:p>
    <w:bookmarkEnd w:id="26"/>
    <w:p>
      <w:pPr>
        <w:pStyle w:val="25"/>
        <w:spacing w:before="851" w:after="680"/>
        <w:rPr>
          <w:rFonts w:ascii="黑体" w:hAnsi="黑体" w:eastAsia="黑体"/>
          <w:b w:val="0"/>
        </w:rPr>
      </w:pPr>
      <w:bookmarkStart w:id="27" w:name="_Toc156037822"/>
      <w:bookmarkStart w:id="28" w:name="NEW_STAND_NAME"/>
      <w:bookmarkStart w:id="29" w:name="BookMark4"/>
      <w:r>
        <w:rPr>
          <w:rFonts w:hint="eastAsia" w:ascii="黑体" w:hAnsi="黑体" w:eastAsia="黑体"/>
          <w:b w:val="0"/>
        </w:rPr>
        <w:t>玉</w:t>
      </w:r>
      <w:bookmarkStart w:id="30" w:name="StandardName"/>
      <w:r>
        <w:rPr>
          <w:rFonts w:hint="eastAsia" w:ascii="黑体" w:hAnsi="黑体" w:eastAsia="黑体"/>
          <w:b w:val="0"/>
        </w:rPr>
        <w:t>露香梨贮藏技术规程</w:t>
      </w:r>
      <w:bookmarkEnd w:id="27"/>
      <w:bookmarkEnd w:id="30"/>
    </w:p>
    <w:p>
      <w:pPr>
        <w:pStyle w:val="234"/>
        <w:numPr>
          <w:ilvl w:val="0"/>
          <w:numId w:val="33"/>
        </w:numPr>
        <w:spacing w:before="312" w:after="312"/>
        <w:outlineLvl w:val="1"/>
      </w:pPr>
      <w:bookmarkStart w:id="31" w:name="_Toc427680324"/>
      <w:bookmarkStart w:id="32" w:name="_Toc427677748"/>
      <w:bookmarkStart w:id="33" w:name="_Toc427680405"/>
      <w:bookmarkStart w:id="34" w:name="_Toc427680449"/>
      <w:bookmarkStart w:id="35" w:name="_Toc427675785"/>
      <w:bookmarkStart w:id="36" w:name="_Toc277778797"/>
      <w:bookmarkStart w:id="37" w:name="_Toc430336590"/>
      <w:bookmarkStart w:id="38" w:name="_Toc156037823"/>
      <w:r>
        <w:rPr>
          <w:rFonts w:hint="eastAsia"/>
        </w:rPr>
        <w:t>范围</w:t>
      </w:r>
      <w:bookmarkEnd w:id="31"/>
      <w:bookmarkEnd w:id="32"/>
      <w:bookmarkEnd w:id="33"/>
      <w:bookmarkEnd w:id="34"/>
      <w:bookmarkEnd w:id="35"/>
      <w:bookmarkEnd w:id="36"/>
      <w:bookmarkEnd w:id="37"/>
      <w:bookmarkEnd w:id="38"/>
    </w:p>
    <w:p>
      <w:pPr>
        <w:pStyle w:val="232"/>
      </w:pPr>
      <w:r>
        <w:rPr>
          <w:rFonts w:hint="eastAsia"/>
        </w:rPr>
        <w:t>本文件规定了玉露香梨贮藏技术的术语和定义、采收、贮藏果质量、预冷、入库与码垛、贮藏要求、其它辅助保鲜措施、出库、风险控制和贮藏档案。</w:t>
      </w:r>
    </w:p>
    <w:p>
      <w:pPr>
        <w:pStyle w:val="232"/>
      </w:pPr>
      <w:r>
        <w:rPr>
          <w:rFonts w:hint="eastAsia"/>
        </w:rPr>
        <w:t>本文件适用于玉露香梨的冷藏和气调贮藏。</w:t>
      </w:r>
    </w:p>
    <w:p>
      <w:pPr>
        <w:pStyle w:val="234"/>
        <w:numPr>
          <w:ilvl w:val="0"/>
          <w:numId w:val="33"/>
        </w:numPr>
        <w:spacing w:before="312" w:after="312"/>
        <w:outlineLvl w:val="1"/>
      </w:pPr>
      <w:bookmarkStart w:id="39" w:name="_Toc277778703"/>
      <w:bookmarkEnd w:id="39"/>
      <w:bookmarkStart w:id="40" w:name="_Toc430336591"/>
      <w:bookmarkStart w:id="41" w:name="_Toc427680406"/>
      <w:bookmarkStart w:id="42" w:name="_Toc427675786"/>
      <w:bookmarkStart w:id="43" w:name="_Toc427677749"/>
      <w:bookmarkStart w:id="44" w:name="_Toc427680450"/>
      <w:bookmarkStart w:id="45" w:name="_Toc156037824"/>
      <w:bookmarkStart w:id="46" w:name="_Toc427680325"/>
      <w:bookmarkStart w:id="47" w:name="_Toc277778798"/>
      <w:r>
        <w:rPr>
          <w:rFonts w:hint="eastAsia"/>
        </w:rPr>
        <w:t>规范性引用文件</w:t>
      </w:r>
      <w:bookmarkEnd w:id="40"/>
      <w:bookmarkEnd w:id="41"/>
      <w:bookmarkEnd w:id="42"/>
      <w:bookmarkEnd w:id="43"/>
      <w:bookmarkEnd w:id="44"/>
      <w:bookmarkEnd w:id="45"/>
      <w:bookmarkEnd w:id="46"/>
      <w:bookmarkEnd w:id="47"/>
    </w:p>
    <w:p>
      <w:pPr>
        <w:pStyle w:val="56"/>
        <w:ind w:firstLine="420"/>
      </w:pPr>
      <w:bookmarkStart w:id="48" w:name="_Hlk161043373"/>
      <w:sdt>
        <w:sdtPr>
          <w:rPr>
            <w:rFonts w:hint="eastAsia"/>
          </w:rPr>
          <w:id w:val="715848253"/>
          <w:placeholder>
            <w:docPart w:val="156E8D2FBA5B4419B540004E27F5FD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bookmarkEnd w:id="48"/>
    <w:p>
      <w:pPr>
        <w:pStyle w:val="232"/>
        <w:rPr>
          <w:rFonts w:ascii="Times New Roman" w:hAnsi="Times New Roman"/>
        </w:rPr>
      </w:pPr>
      <w:r>
        <w:rPr>
          <w:rFonts w:ascii="Times New Roman" w:hAnsi="Times New Roman"/>
        </w:rPr>
        <w:t>GB 2761  食品安全国家标准食品中真菌毒素限量</w:t>
      </w:r>
    </w:p>
    <w:p>
      <w:pPr>
        <w:pStyle w:val="232"/>
        <w:rPr>
          <w:rFonts w:ascii="Times New Roman" w:hAnsi="Times New Roman"/>
        </w:rPr>
      </w:pPr>
      <w:r>
        <w:rPr>
          <w:rFonts w:ascii="Times New Roman" w:hAnsi="Times New Roman"/>
        </w:rPr>
        <w:t>GB 2762  食品安全国家标准食品中污染物限量</w:t>
      </w:r>
    </w:p>
    <w:p>
      <w:pPr>
        <w:pStyle w:val="232"/>
        <w:rPr>
          <w:rFonts w:ascii="Times New Roman" w:hAnsi="Times New Roman"/>
        </w:rPr>
      </w:pPr>
      <w:r>
        <w:rPr>
          <w:rFonts w:ascii="Times New Roman" w:hAnsi="Times New Roman"/>
        </w:rPr>
        <w:t>GB 2763  食品安全国家标准食品中农药最大残留限量</w:t>
      </w:r>
    </w:p>
    <w:p>
      <w:pPr>
        <w:pStyle w:val="232"/>
        <w:rPr>
          <w:rFonts w:ascii="Times New Roman"/>
          <w:color w:val="000000"/>
          <w:szCs w:val="21"/>
        </w:rPr>
      </w:pPr>
      <w:bookmarkStart w:id="49" w:name="_Hlk156916608"/>
      <w:r>
        <w:rPr>
          <w:rFonts w:ascii="Times New Roman"/>
          <w:color w:val="000000"/>
          <w:szCs w:val="21"/>
        </w:rPr>
        <w:t xml:space="preserve">GB/T 8559 </w:t>
      </w:r>
      <w:r>
        <w:rPr>
          <w:rFonts w:hint="eastAsia" w:ascii="Times New Roman"/>
          <w:color w:val="000000"/>
          <w:szCs w:val="21"/>
          <w:lang w:val="en-US" w:eastAsia="zh-CN"/>
        </w:rPr>
        <w:t xml:space="preserve"> </w:t>
      </w:r>
      <w:r>
        <w:rPr>
          <w:rFonts w:ascii="Times New Roman"/>
          <w:color w:val="000000"/>
          <w:szCs w:val="21"/>
        </w:rPr>
        <w:t>苹果冷藏技术</w:t>
      </w:r>
    </w:p>
    <w:bookmarkEnd w:id="49"/>
    <w:p>
      <w:pPr>
        <w:pStyle w:val="232"/>
        <w:rPr>
          <w:rFonts w:ascii="Times New Roman"/>
          <w:color w:val="000000"/>
          <w:szCs w:val="21"/>
        </w:rPr>
      </w:pPr>
      <w:bookmarkStart w:id="50" w:name="_Hlk156916493"/>
      <w:r>
        <w:rPr>
          <w:rFonts w:ascii="Times New Roman"/>
          <w:color w:val="000000"/>
          <w:szCs w:val="21"/>
        </w:rPr>
        <w:t>GB/T 1065</w:t>
      </w:r>
      <w:r>
        <w:rPr>
          <w:rFonts w:hint="eastAsia" w:ascii="Times New Roman"/>
          <w:color w:val="000000"/>
          <w:szCs w:val="21"/>
        </w:rPr>
        <w:t>0</w:t>
      </w:r>
      <w:r>
        <w:rPr>
          <w:rFonts w:hint="eastAsia" w:ascii="Times New Roman"/>
          <w:color w:val="000000"/>
          <w:szCs w:val="21"/>
          <w:lang w:val="en-US" w:eastAsia="zh-CN"/>
        </w:rPr>
        <w:t xml:space="preserve">  </w:t>
      </w:r>
      <w:r>
        <w:rPr>
          <w:rFonts w:ascii="Times New Roman"/>
          <w:color w:val="000000"/>
          <w:szCs w:val="21"/>
        </w:rPr>
        <w:t>鲜梨</w:t>
      </w:r>
    </w:p>
    <w:bookmarkEnd w:id="50"/>
    <w:p>
      <w:pPr>
        <w:pStyle w:val="232"/>
        <w:rPr>
          <w:rFonts w:ascii="Times New Roman"/>
          <w:color w:val="000000"/>
          <w:szCs w:val="21"/>
        </w:rPr>
      </w:pPr>
      <w:r>
        <w:rPr>
          <w:rFonts w:ascii="Times New Roman"/>
          <w:color w:val="000000"/>
          <w:szCs w:val="21"/>
        </w:rPr>
        <w:t xml:space="preserve">NY/T 585 </w:t>
      </w:r>
      <w:r>
        <w:rPr>
          <w:rFonts w:hint="eastAsia" w:ascii="Times New Roman"/>
          <w:color w:val="000000"/>
          <w:szCs w:val="21"/>
          <w:lang w:val="en-US" w:eastAsia="zh-CN"/>
        </w:rPr>
        <w:t xml:space="preserve"> </w:t>
      </w:r>
      <w:r>
        <w:rPr>
          <w:rFonts w:ascii="Times New Roman"/>
          <w:color w:val="000000"/>
          <w:szCs w:val="21"/>
        </w:rPr>
        <w:t>库尔勒香梨</w:t>
      </w:r>
    </w:p>
    <w:p>
      <w:pPr>
        <w:pStyle w:val="232"/>
        <w:rPr>
          <w:rFonts w:ascii="Times New Roman"/>
          <w:color w:val="000000"/>
          <w:szCs w:val="21"/>
        </w:rPr>
      </w:pPr>
      <w:bookmarkStart w:id="51" w:name="_Hlk156916526"/>
      <w:r>
        <w:rPr>
          <w:rFonts w:ascii="Times New Roman"/>
          <w:color w:val="000000"/>
          <w:szCs w:val="21"/>
        </w:rPr>
        <w:t xml:space="preserve">NY/T 1198 </w:t>
      </w:r>
      <w:r>
        <w:rPr>
          <w:rFonts w:hint="eastAsia" w:ascii="Times New Roman"/>
          <w:color w:val="000000"/>
          <w:szCs w:val="21"/>
          <w:lang w:val="en-US" w:eastAsia="zh-CN"/>
        </w:rPr>
        <w:t xml:space="preserve"> </w:t>
      </w:r>
      <w:r>
        <w:rPr>
          <w:rFonts w:ascii="Times New Roman"/>
          <w:color w:val="000000"/>
          <w:szCs w:val="21"/>
        </w:rPr>
        <w:t>梨贮运技术规范</w:t>
      </w:r>
    </w:p>
    <w:bookmarkEnd w:id="51"/>
    <w:p>
      <w:pPr>
        <w:pStyle w:val="234"/>
        <w:numPr>
          <w:ilvl w:val="0"/>
          <w:numId w:val="33"/>
        </w:numPr>
        <w:spacing w:before="312" w:after="312"/>
        <w:outlineLvl w:val="1"/>
      </w:pPr>
      <w:bookmarkStart w:id="52" w:name="_Toc430336592"/>
      <w:bookmarkStart w:id="53" w:name="_Toc156037825"/>
      <w:r>
        <w:rPr>
          <w:rFonts w:hint="eastAsia"/>
        </w:rPr>
        <w:t>术语和定义</w:t>
      </w:r>
      <w:bookmarkEnd w:id="52"/>
      <w:bookmarkEnd w:id="53"/>
    </w:p>
    <w:p>
      <w:pPr>
        <w:pStyle w:val="232"/>
        <w:rPr>
          <w:color w:val="000000"/>
        </w:rPr>
      </w:pPr>
      <w:r>
        <w:rPr>
          <w:rFonts w:hint="eastAsia"/>
          <w:color w:val="000000"/>
        </w:rPr>
        <w:t>下列术语和定义适用于本文件。</w:t>
      </w:r>
    </w:p>
    <w:p>
      <w:pPr>
        <w:pStyle w:val="233"/>
        <w:numPr>
          <w:ilvl w:val="1"/>
          <w:numId w:val="33"/>
        </w:numPr>
        <w:jc w:val="left"/>
        <w:outlineLvl w:val="2"/>
      </w:pPr>
    </w:p>
    <w:p>
      <w:pPr>
        <w:pStyle w:val="233"/>
        <w:numPr>
          <w:ilvl w:val="0"/>
          <w:numId w:val="0"/>
        </w:numPr>
        <w:ind w:leftChars="0" w:firstLine="420" w:firstLineChars="200"/>
        <w:jc w:val="left"/>
        <w:outlineLvl w:val="2"/>
      </w:pPr>
      <w:r>
        <w:rPr>
          <w:rFonts w:hint="eastAsia"/>
          <w:lang w:val="en-US" w:eastAsia="zh-CN"/>
        </w:rPr>
        <w:t>果皮油腻化</w:t>
      </w:r>
    </w:p>
    <w:p>
      <w:pPr>
        <w:pStyle w:val="232"/>
      </w:pPr>
      <w:r>
        <w:rPr>
          <w:rFonts w:hint="eastAsia"/>
        </w:rPr>
        <w:t>果皮油腻化是指果皮表面由干燥逐渐向油腻方向发展，且果面发亮，如有一层油脂。</w:t>
      </w:r>
    </w:p>
    <w:p>
      <w:pPr>
        <w:pStyle w:val="234"/>
        <w:numPr>
          <w:ilvl w:val="0"/>
          <w:numId w:val="33"/>
        </w:numPr>
        <w:spacing w:before="312" w:after="312"/>
        <w:outlineLvl w:val="1"/>
      </w:pPr>
      <w:bookmarkStart w:id="54" w:name="_Toc277778708"/>
      <w:bookmarkEnd w:id="54"/>
      <w:bookmarkStart w:id="55" w:name="_Toc267659255"/>
      <w:bookmarkEnd w:id="55"/>
      <w:bookmarkStart w:id="56" w:name="_Toc430336593"/>
      <w:bookmarkStart w:id="57" w:name="_Toc156037826"/>
      <w:bookmarkStart w:id="58" w:name="_Toc427680451"/>
      <w:bookmarkStart w:id="59" w:name="_Toc427680407"/>
      <w:bookmarkStart w:id="60" w:name="_Toc427675787"/>
      <w:bookmarkStart w:id="61" w:name="_Toc427677750"/>
      <w:bookmarkStart w:id="62" w:name="_Toc427680326"/>
      <w:bookmarkStart w:id="63" w:name="_Toc277778803"/>
      <w:r>
        <w:rPr>
          <w:rFonts w:hint="eastAsia"/>
        </w:rPr>
        <w:t>采收</w:t>
      </w:r>
      <w:bookmarkEnd w:id="56"/>
      <w:bookmarkEnd w:id="57"/>
      <w:bookmarkEnd w:id="58"/>
      <w:bookmarkEnd w:id="59"/>
      <w:bookmarkEnd w:id="60"/>
      <w:bookmarkEnd w:id="61"/>
      <w:bookmarkEnd w:id="62"/>
      <w:bookmarkEnd w:id="63"/>
    </w:p>
    <w:p>
      <w:pPr>
        <w:pStyle w:val="233"/>
        <w:numPr>
          <w:ilvl w:val="1"/>
          <w:numId w:val="33"/>
        </w:numPr>
        <w:jc w:val="left"/>
        <w:outlineLvl w:val="2"/>
      </w:pPr>
      <w:r>
        <w:rPr>
          <w:rFonts w:hint="eastAsia"/>
        </w:rPr>
        <w:t>适期采收</w:t>
      </w:r>
    </w:p>
    <w:p>
      <w:pPr>
        <w:pStyle w:val="232"/>
      </w:pPr>
      <w:r>
        <w:rPr>
          <w:rFonts w:cs="宋体"/>
          <w:color w:val="000000"/>
          <w:szCs w:val="21"/>
        </w:rPr>
        <w:t>贮藏果应适期采收，遵循晚采先销、短贮，早采晚销、长贮的原则，短期贮藏或采后即上市的果实可适当晚采。</w:t>
      </w:r>
    </w:p>
    <w:p>
      <w:pPr>
        <w:pStyle w:val="233"/>
        <w:numPr>
          <w:ilvl w:val="1"/>
          <w:numId w:val="33"/>
        </w:numPr>
        <w:jc w:val="left"/>
        <w:outlineLvl w:val="2"/>
      </w:pPr>
      <w:bookmarkStart w:id="64" w:name="_Toc267659258"/>
      <w:bookmarkEnd w:id="64"/>
      <w:bookmarkStart w:id="65" w:name="_Toc277778710"/>
      <w:bookmarkEnd w:id="65"/>
      <w:bookmarkStart w:id="66" w:name="_Toc427677752"/>
      <w:bookmarkStart w:id="67" w:name="_Toc277778805"/>
      <w:r>
        <w:rPr>
          <w:rFonts w:hint="eastAsia"/>
        </w:rPr>
        <w:t>确定采收成熟度方法</w:t>
      </w:r>
      <w:bookmarkEnd w:id="66"/>
      <w:bookmarkEnd w:id="67"/>
    </w:p>
    <w:p>
      <w:pPr>
        <w:pStyle w:val="232"/>
        <w:rPr>
          <w:rFonts w:ascii="Times New Roman" w:hAnsi="Times New Roman"/>
          <w:color w:val="FF0000"/>
        </w:rPr>
      </w:pPr>
      <w:r>
        <w:rPr>
          <w:rFonts w:ascii="Times New Roman" w:hAnsi="Times New Roman"/>
        </w:rPr>
        <w:t>果实采收成熟度根据种子颜色、可溶性固形物含量、果肉硬度和果实生长发育期等指标进行综合判断。种子颜色见附录A图A.1。玉露香梨适宜采收成熟度指标见表1。比如在山西晋中</w:t>
      </w:r>
      <w:r>
        <w:rPr>
          <w:rFonts w:hint="eastAsia" w:ascii="Times New Roman" w:hAnsi="Times New Roman"/>
        </w:rPr>
        <w:t>地区，</w:t>
      </w:r>
      <w:r>
        <w:rPr>
          <w:rFonts w:ascii="Times New Roman" w:hAnsi="Times New Roman"/>
        </w:rPr>
        <w:t>短期贮藏：9月上中旬</w:t>
      </w:r>
      <w:r>
        <w:rPr>
          <w:rFonts w:hint="eastAsia" w:ascii="Times New Roman" w:hAnsi="Times New Roman"/>
        </w:rPr>
        <w:t>果实</w:t>
      </w:r>
      <w:r>
        <w:rPr>
          <w:rFonts w:ascii="Times New Roman" w:hAnsi="Times New Roman"/>
        </w:rPr>
        <w:t>采收，长期贮藏</w:t>
      </w:r>
      <w:r>
        <w:rPr>
          <w:rFonts w:hint="eastAsia" w:ascii="Times New Roman" w:hAnsi="Times New Roman"/>
        </w:rPr>
        <w:t>：8月底</w:t>
      </w:r>
      <w:r>
        <w:rPr>
          <w:rFonts w:ascii="Times New Roman" w:hAnsi="Times New Roman"/>
        </w:rPr>
        <w:t>9月</w:t>
      </w:r>
      <w:r>
        <w:rPr>
          <w:rFonts w:hint="eastAsia" w:ascii="Times New Roman" w:hAnsi="Times New Roman"/>
        </w:rPr>
        <w:t>初果实</w:t>
      </w:r>
      <w:r>
        <w:rPr>
          <w:rFonts w:ascii="Times New Roman" w:hAnsi="Times New Roman"/>
        </w:rPr>
        <w:t>采收。</w:t>
      </w:r>
    </w:p>
    <w:p>
      <w:pPr>
        <w:pStyle w:val="238"/>
        <w:widowControl/>
        <w:numPr>
          <w:ilvl w:val="0"/>
          <w:numId w:val="16"/>
        </w:numPr>
        <w:tabs>
          <w:tab w:val="left" w:pos="360"/>
        </w:tabs>
        <w:spacing w:before="156" w:after="156"/>
        <w:ind w:left="105"/>
      </w:pPr>
      <w:r>
        <w:rPr>
          <w:rFonts w:hint="eastAsia"/>
        </w:rPr>
        <w:t>用于不同贮藏期限的玉露香梨适宜采收成熟度指标</w:t>
      </w:r>
    </w:p>
    <w:tbl>
      <w:tblPr>
        <w:tblStyle w:val="26"/>
        <w:tblW w:w="8930" w:type="dxa"/>
        <w:tblInd w:w="274" w:type="dxa"/>
        <w:tblLayout w:type="fixed"/>
        <w:tblCellMar>
          <w:top w:w="0" w:type="dxa"/>
          <w:left w:w="108" w:type="dxa"/>
          <w:bottom w:w="0" w:type="dxa"/>
          <w:right w:w="108" w:type="dxa"/>
        </w:tblCellMar>
      </w:tblPr>
      <w:tblGrid>
        <w:gridCol w:w="2976"/>
        <w:gridCol w:w="2977"/>
        <w:gridCol w:w="2977"/>
      </w:tblGrid>
      <w:tr>
        <w:tblPrEx>
          <w:tblCellMar>
            <w:top w:w="0" w:type="dxa"/>
            <w:left w:w="108" w:type="dxa"/>
            <w:bottom w:w="0" w:type="dxa"/>
            <w:right w:w="108" w:type="dxa"/>
          </w:tblCellMar>
        </w:tblPrEx>
        <w:trPr>
          <w:trHeight w:val="20" w:hRule="atLeast"/>
        </w:trPr>
        <w:tc>
          <w:tcPr>
            <w:tcW w:w="2976" w:type="dxa"/>
            <w:tcBorders>
              <w:top w:val="single" w:color="auto" w:sz="8" w:space="0"/>
              <w:left w:val="single" w:color="auto" w:sz="8" w:space="0"/>
              <w:bottom w:val="single" w:color="auto" w:sz="8" w:space="0"/>
              <w:right w:val="single" w:color="auto" w:sz="4" w:space="0"/>
            </w:tcBorders>
            <w:vAlign w:val="center"/>
          </w:tcPr>
          <w:p>
            <w:pPr>
              <w:widowControl/>
              <w:autoSpaceDE w:val="0"/>
              <w:autoSpaceDN w:val="0"/>
              <w:ind w:left="363"/>
              <w:jc w:val="center"/>
              <w:rPr>
                <w:kern w:val="0"/>
                <w:sz w:val="18"/>
                <w:szCs w:val="18"/>
              </w:rPr>
            </w:pPr>
            <w:r>
              <w:rPr>
                <w:rFonts w:hAnsi="宋体"/>
                <w:kern w:val="0"/>
                <w:sz w:val="18"/>
                <w:szCs w:val="18"/>
              </w:rPr>
              <w:t>指标</w:t>
            </w:r>
          </w:p>
        </w:tc>
        <w:tc>
          <w:tcPr>
            <w:tcW w:w="2977" w:type="dxa"/>
            <w:tcBorders>
              <w:top w:val="single" w:color="auto" w:sz="8" w:space="0"/>
              <w:left w:val="nil"/>
              <w:bottom w:val="single" w:color="auto" w:sz="8" w:space="0"/>
              <w:right w:val="single" w:color="auto" w:sz="4"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短期贮藏</w:t>
            </w:r>
            <w:r>
              <w:rPr>
                <w:rFonts w:hint="eastAsia" w:ascii="Times New Roman" w:hAnsi="Times New Roman"/>
                <w:kern w:val="0"/>
                <w:sz w:val="18"/>
                <w:szCs w:val="18"/>
              </w:rPr>
              <w:t>（100</w:t>
            </w:r>
            <w:r>
              <w:rPr>
                <w:rFonts w:hint="eastAsia" w:ascii="Times New Roman" w:hAnsi="Times New Roman"/>
                <w:kern w:val="0"/>
                <w:sz w:val="18"/>
                <w:szCs w:val="18"/>
                <w:lang w:val="en-US" w:eastAsia="zh-CN"/>
              </w:rPr>
              <w:t xml:space="preserve"> d</w:t>
            </w:r>
            <w:r>
              <w:rPr>
                <w:rFonts w:ascii="Times New Roman" w:hAnsi="Times New Roman"/>
                <w:kern w:val="0"/>
                <w:sz w:val="18"/>
                <w:szCs w:val="18"/>
              </w:rPr>
              <w:t>～120 d</w:t>
            </w:r>
            <w:r>
              <w:rPr>
                <w:rFonts w:hint="eastAsia" w:ascii="Times New Roman" w:hAnsi="Times New Roman"/>
                <w:kern w:val="0"/>
                <w:sz w:val="18"/>
                <w:szCs w:val="18"/>
              </w:rPr>
              <w:t>）</w:t>
            </w:r>
          </w:p>
        </w:tc>
        <w:tc>
          <w:tcPr>
            <w:tcW w:w="2977" w:type="dxa"/>
            <w:tcBorders>
              <w:top w:val="single" w:color="auto" w:sz="8" w:space="0"/>
              <w:left w:val="nil"/>
              <w:bottom w:val="single" w:color="auto" w:sz="8" w:space="0"/>
              <w:right w:val="single" w:color="auto" w:sz="8"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长期贮藏</w:t>
            </w:r>
            <w:r>
              <w:rPr>
                <w:rFonts w:hint="eastAsia" w:ascii="Times New Roman" w:hAnsi="Times New Roman"/>
                <w:kern w:val="0"/>
                <w:sz w:val="18"/>
                <w:szCs w:val="18"/>
              </w:rPr>
              <w:t>（</w:t>
            </w:r>
            <w:r>
              <w:rPr>
                <w:rFonts w:ascii="Times New Roman" w:hAnsi="Times New Roman"/>
                <w:kern w:val="0"/>
                <w:sz w:val="18"/>
                <w:szCs w:val="18"/>
              </w:rPr>
              <w:t>120</w:t>
            </w:r>
            <w:r>
              <w:rPr>
                <w:rFonts w:hint="eastAsia" w:ascii="Times New Roman" w:hAnsi="Times New Roman"/>
                <w:kern w:val="0"/>
                <w:sz w:val="18"/>
                <w:szCs w:val="18"/>
                <w:lang w:val="en-US" w:eastAsia="zh-CN"/>
              </w:rPr>
              <w:t xml:space="preserve"> d</w:t>
            </w:r>
            <w:r>
              <w:rPr>
                <w:rFonts w:ascii="Times New Roman" w:hAnsi="Times New Roman"/>
                <w:kern w:val="0"/>
                <w:sz w:val="18"/>
                <w:szCs w:val="18"/>
              </w:rPr>
              <w:t>～240 d</w:t>
            </w:r>
            <w:r>
              <w:rPr>
                <w:rFonts w:hint="eastAsia" w:ascii="Times New Roman" w:hAnsi="Times New Roman"/>
                <w:kern w:val="0"/>
                <w:sz w:val="18"/>
                <w:szCs w:val="18"/>
              </w:rPr>
              <w:t>）</w:t>
            </w:r>
          </w:p>
        </w:tc>
      </w:tr>
      <w:tr>
        <w:tblPrEx>
          <w:tblCellMar>
            <w:top w:w="0" w:type="dxa"/>
            <w:left w:w="108" w:type="dxa"/>
            <w:bottom w:w="0" w:type="dxa"/>
            <w:right w:w="108" w:type="dxa"/>
          </w:tblCellMar>
        </w:tblPrEx>
        <w:trPr>
          <w:trHeight w:val="20" w:hRule="atLeast"/>
        </w:trPr>
        <w:tc>
          <w:tcPr>
            <w:tcW w:w="2976" w:type="dxa"/>
            <w:tcBorders>
              <w:top w:val="single" w:color="auto" w:sz="8" w:space="0"/>
              <w:left w:val="single" w:color="auto" w:sz="8" w:space="0"/>
              <w:bottom w:val="single" w:color="auto" w:sz="4" w:space="0"/>
              <w:right w:val="single" w:color="auto" w:sz="4" w:space="0"/>
            </w:tcBorders>
            <w:vAlign w:val="center"/>
          </w:tcPr>
          <w:p>
            <w:pPr>
              <w:widowControl/>
              <w:autoSpaceDE w:val="0"/>
              <w:autoSpaceDN w:val="0"/>
              <w:ind w:left="363"/>
              <w:jc w:val="center"/>
              <w:rPr>
                <w:rFonts w:ascii="Times New Roman" w:hAnsi="Times New Roman"/>
                <w:color w:val="0000FF"/>
                <w:kern w:val="0"/>
                <w:sz w:val="18"/>
                <w:szCs w:val="18"/>
              </w:rPr>
            </w:pPr>
            <w:r>
              <w:rPr>
                <w:rFonts w:ascii="Times New Roman" w:hAnsi="Times New Roman"/>
                <w:kern w:val="0"/>
                <w:sz w:val="18"/>
                <w:szCs w:val="18"/>
              </w:rPr>
              <w:t>种子颜色</w:t>
            </w:r>
          </w:p>
        </w:tc>
        <w:tc>
          <w:tcPr>
            <w:tcW w:w="2977" w:type="dxa"/>
            <w:tcBorders>
              <w:top w:val="single" w:color="auto" w:sz="8" w:space="0"/>
              <w:left w:val="nil"/>
              <w:bottom w:val="single" w:color="auto" w:sz="4" w:space="0"/>
              <w:right w:val="single" w:color="auto" w:sz="4"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4～6级</w:t>
            </w:r>
          </w:p>
        </w:tc>
        <w:tc>
          <w:tcPr>
            <w:tcW w:w="2977" w:type="dxa"/>
            <w:tcBorders>
              <w:top w:val="single" w:color="auto" w:sz="8" w:space="0"/>
              <w:left w:val="nil"/>
              <w:bottom w:val="single" w:color="auto" w:sz="4" w:space="0"/>
              <w:right w:val="single" w:color="auto" w:sz="8"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3～4级</w:t>
            </w:r>
          </w:p>
        </w:tc>
      </w:tr>
      <w:tr>
        <w:tblPrEx>
          <w:tblCellMar>
            <w:top w:w="0" w:type="dxa"/>
            <w:left w:w="108" w:type="dxa"/>
            <w:bottom w:w="0" w:type="dxa"/>
            <w:right w:w="108" w:type="dxa"/>
          </w:tblCellMar>
        </w:tblPrEx>
        <w:trPr>
          <w:trHeight w:val="20" w:hRule="atLeast"/>
        </w:trPr>
        <w:tc>
          <w:tcPr>
            <w:tcW w:w="2976" w:type="dxa"/>
            <w:tcBorders>
              <w:top w:val="single" w:color="auto" w:sz="4" w:space="0"/>
              <w:left w:val="single" w:color="auto" w:sz="8" w:space="0"/>
              <w:bottom w:val="single" w:color="auto" w:sz="4" w:space="0"/>
              <w:right w:val="single" w:color="auto" w:sz="4"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果肉硬度（kg/cm</w:t>
            </w:r>
            <w:r>
              <w:rPr>
                <w:rFonts w:ascii="Times New Roman" w:hAnsi="Times New Roman"/>
                <w:kern w:val="0"/>
                <w:sz w:val="18"/>
                <w:szCs w:val="18"/>
                <w:vertAlign w:val="superscript"/>
              </w:rPr>
              <w:t>2</w:t>
            </w:r>
            <w:r>
              <w:rPr>
                <w:rFonts w:ascii="Times New Roman" w:hAnsi="Times New Roman"/>
                <w:kern w:val="0"/>
                <w:sz w:val="18"/>
                <w:szCs w:val="18"/>
              </w:rPr>
              <w:t>）</w:t>
            </w:r>
          </w:p>
        </w:tc>
        <w:tc>
          <w:tcPr>
            <w:tcW w:w="2977" w:type="dxa"/>
            <w:tcBorders>
              <w:top w:val="single" w:color="auto" w:sz="4" w:space="0"/>
              <w:left w:val="nil"/>
              <w:bottom w:val="single" w:color="auto" w:sz="4" w:space="0"/>
              <w:right w:val="single" w:color="auto" w:sz="4"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3.5～4.0</w:t>
            </w:r>
          </w:p>
        </w:tc>
        <w:tc>
          <w:tcPr>
            <w:tcW w:w="2977" w:type="dxa"/>
            <w:tcBorders>
              <w:top w:val="single" w:color="auto" w:sz="4" w:space="0"/>
              <w:left w:val="nil"/>
              <w:bottom w:val="single" w:color="auto" w:sz="4" w:space="0"/>
              <w:right w:val="single" w:color="auto" w:sz="8"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≥4.0</w:t>
            </w:r>
          </w:p>
        </w:tc>
      </w:tr>
      <w:tr>
        <w:tblPrEx>
          <w:tblCellMar>
            <w:top w:w="0" w:type="dxa"/>
            <w:left w:w="108" w:type="dxa"/>
            <w:bottom w:w="0" w:type="dxa"/>
            <w:right w:w="108" w:type="dxa"/>
          </w:tblCellMar>
        </w:tblPrEx>
        <w:trPr>
          <w:trHeight w:val="20" w:hRule="atLeast"/>
        </w:trPr>
        <w:tc>
          <w:tcPr>
            <w:tcW w:w="2976" w:type="dxa"/>
            <w:tcBorders>
              <w:top w:val="single" w:color="auto" w:sz="4" w:space="0"/>
              <w:left w:val="single" w:color="auto" w:sz="8" w:space="0"/>
              <w:bottom w:val="single" w:color="auto" w:sz="4" w:space="0"/>
              <w:right w:val="single" w:color="auto" w:sz="4" w:space="0"/>
            </w:tcBorders>
            <w:vAlign w:val="center"/>
          </w:tcPr>
          <w:p>
            <w:pPr>
              <w:widowControl/>
              <w:autoSpaceDE w:val="0"/>
              <w:autoSpaceDN w:val="0"/>
              <w:ind w:left="363"/>
              <w:jc w:val="center"/>
              <w:rPr>
                <w:rFonts w:ascii="Times New Roman" w:hAnsi="Times New Roman"/>
                <w:color w:val="000000"/>
                <w:kern w:val="0"/>
                <w:sz w:val="18"/>
                <w:szCs w:val="18"/>
              </w:rPr>
            </w:pPr>
            <w:r>
              <w:rPr>
                <w:rFonts w:ascii="Times New Roman" w:hAnsi="Times New Roman"/>
                <w:kern w:val="0"/>
                <w:sz w:val="18"/>
                <w:szCs w:val="18"/>
              </w:rPr>
              <w:t>可溶性固形物含量（</w:t>
            </w:r>
            <w:r>
              <w:rPr>
                <w:rFonts w:hint="eastAsia" w:ascii="Times New Roman" w:hAnsi="Times New Roman"/>
                <w:kern w:val="0"/>
                <w:sz w:val="18"/>
                <w:szCs w:val="18"/>
              </w:rPr>
              <w:t>%</w:t>
            </w:r>
            <w:r>
              <w:rPr>
                <w:rFonts w:ascii="Times New Roman" w:hAnsi="Times New Roman"/>
                <w:kern w:val="0"/>
                <w:sz w:val="18"/>
                <w:szCs w:val="18"/>
              </w:rPr>
              <w:t>）</w:t>
            </w:r>
          </w:p>
        </w:tc>
        <w:tc>
          <w:tcPr>
            <w:tcW w:w="2977" w:type="dxa"/>
            <w:tcBorders>
              <w:top w:val="single" w:color="auto" w:sz="4" w:space="0"/>
              <w:left w:val="nil"/>
              <w:bottom w:val="single" w:color="auto" w:sz="4" w:space="0"/>
              <w:right w:val="single" w:color="auto" w:sz="4"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≥12.5</w:t>
            </w:r>
          </w:p>
        </w:tc>
        <w:tc>
          <w:tcPr>
            <w:tcW w:w="2977" w:type="dxa"/>
            <w:tcBorders>
              <w:top w:val="single" w:color="auto" w:sz="4" w:space="0"/>
              <w:left w:val="nil"/>
              <w:bottom w:val="single" w:color="auto" w:sz="4" w:space="0"/>
              <w:right w:val="single" w:color="auto" w:sz="8"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≥12.0</w:t>
            </w:r>
          </w:p>
        </w:tc>
      </w:tr>
      <w:tr>
        <w:tblPrEx>
          <w:tblCellMar>
            <w:top w:w="0" w:type="dxa"/>
            <w:left w:w="108" w:type="dxa"/>
            <w:bottom w:w="0" w:type="dxa"/>
            <w:right w:w="108" w:type="dxa"/>
          </w:tblCellMar>
        </w:tblPrEx>
        <w:trPr>
          <w:trHeight w:val="20" w:hRule="atLeast"/>
        </w:trPr>
        <w:tc>
          <w:tcPr>
            <w:tcW w:w="2976" w:type="dxa"/>
            <w:tcBorders>
              <w:top w:val="single" w:color="auto" w:sz="4" w:space="0"/>
              <w:left w:val="single" w:color="auto" w:sz="8" w:space="0"/>
              <w:bottom w:val="single" w:color="auto" w:sz="4" w:space="0"/>
              <w:right w:val="single" w:color="auto" w:sz="4" w:space="0"/>
            </w:tcBorders>
            <w:vAlign w:val="center"/>
          </w:tcPr>
          <w:p>
            <w:pPr>
              <w:widowControl/>
              <w:autoSpaceDE w:val="0"/>
              <w:autoSpaceDN w:val="0"/>
              <w:ind w:left="363"/>
              <w:jc w:val="center"/>
              <w:rPr>
                <w:rFonts w:ascii="Times New Roman" w:hAnsi="Times New Roman"/>
                <w:color w:val="000000"/>
                <w:kern w:val="0"/>
                <w:sz w:val="18"/>
                <w:szCs w:val="18"/>
              </w:rPr>
            </w:pPr>
            <w:r>
              <w:rPr>
                <w:rFonts w:ascii="Times New Roman" w:hAnsi="Times New Roman"/>
                <w:kern w:val="0"/>
                <w:sz w:val="18"/>
                <w:szCs w:val="18"/>
              </w:rPr>
              <w:t>果实生长发育期（</w:t>
            </w:r>
            <w:r>
              <w:rPr>
                <w:rFonts w:hint="eastAsia" w:ascii="Times New Roman" w:hAnsi="Times New Roman"/>
                <w:kern w:val="0"/>
                <w:sz w:val="18"/>
                <w:szCs w:val="18"/>
              </w:rPr>
              <w:t>d</w:t>
            </w:r>
            <w:r>
              <w:rPr>
                <w:rFonts w:ascii="Times New Roman" w:hAnsi="Times New Roman"/>
                <w:kern w:val="0"/>
                <w:sz w:val="18"/>
                <w:szCs w:val="18"/>
              </w:rPr>
              <w:t>）</w:t>
            </w:r>
          </w:p>
        </w:tc>
        <w:tc>
          <w:tcPr>
            <w:tcW w:w="2977" w:type="dxa"/>
            <w:tcBorders>
              <w:top w:val="single" w:color="auto" w:sz="4" w:space="0"/>
              <w:left w:val="nil"/>
              <w:bottom w:val="single" w:color="auto" w:sz="4" w:space="0"/>
              <w:right w:val="single" w:color="auto" w:sz="4"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145～155</w:t>
            </w:r>
          </w:p>
        </w:tc>
        <w:tc>
          <w:tcPr>
            <w:tcW w:w="2977" w:type="dxa"/>
            <w:tcBorders>
              <w:top w:val="single" w:color="auto" w:sz="4" w:space="0"/>
              <w:left w:val="nil"/>
              <w:bottom w:val="single" w:color="auto" w:sz="4" w:space="0"/>
              <w:right w:val="single" w:color="auto" w:sz="8" w:space="0"/>
            </w:tcBorders>
            <w:vAlign w:val="center"/>
          </w:tcPr>
          <w:p>
            <w:pPr>
              <w:widowControl/>
              <w:autoSpaceDE w:val="0"/>
              <w:autoSpaceDN w:val="0"/>
              <w:ind w:left="363"/>
              <w:jc w:val="center"/>
              <w:rPr>
                <w:rFonts w:ascii="Times New Roman" w:hAnsi="Times New Roman"/>
                <w:kern w:val="0"/>
                <w:sz w:val="18"/>
                <w:szCs w:val="18"/>
              </w:rPr>
            </w:pPr>
            <w:r>
              <w:rPr>
                <w:rFonts w:ascii="Times New Roman" w:hAnsi="Times New Roman"/>
                <w:kern w:val="0"/>
                <w:sz w:val="18"/>
                <w:szCs w:val="18"/>
              </w:rPr>
              <w:t>135～145</w:t>
            </w:r>
          </w:p>
        </w:tc>
      </w:tr>
    </w:tbl>
    <w:p>
      <w:pPr>
        <w:pStyle w:val="233"/>
        <w:numPr>
          <w:ilvl w:val="1"/>
          <w:numId w:val="33"/>
        </w:numPr>
        <w:jc w:val="left"/>
        <w:outlineLvl w:val="2"/>
      </w:pPr>
      <w:r>
        <w:rPr>
          <w:rFonts w:hint="eastAsia"/>
        </w:rPr>
        <w:t>采收方法</w:t>
      </w:r>
    </w:p>
    <w:p>
      <w:pPr>
        <w:pStyle w:val="235"/>
        <w:widowControl/>
        <w:numPr>
          <w:ilvl w:val="0"/>
          <w:numId w:val="0"/>
        </w:numPr>
        <w:spacing w:before="156" w:after="156"/>
        <w:ind w:firstLine="420" w:firstLineChars="200"/>
        <w:jc w:val="left"/>
        <w:outlineLvl w:val="3"/>
        <w:rPr>
          <w:rFonts w:ascii="宋体" w:hAnsi="宋体" w:eastAsia="宋体"/>
        </w:rPr>
      </w:pPr>
      <w:r>
        <w:rPr>
          <w:rFonts w:hint="eastAsia" w:ascii="宋体" w:hAnsi="宋体" w:eastAsia="宋体"/>
        </w:rPr>
        <w:t>参照</w:t>
      </w:r>
      <w:r>
        <w:rPr>
          <w:rFonts w:eastAsia="宋体"/>
        </w:rPr>
        <w:t>NY/T 1198</w:t>
      </w:r>
      <w:r>
        <w:rPr>
          <w:rFonts w:ascii="宋体" w:hAnsi="宋体" w:eastAsia="宋体"/>
        </w:rPr>
        <w:t>的</w:t>
      </w:r>
      <w:r>
        <w:rPr>
          <w:rFonts w:hint="eastAsia" w:ascii="宋体" w:hAnsi="宋体" w:eastAsia="宋体"/>
        </w:rPr>
        <w:t>规定，采前两周内梨园应停止灌水，选择晴天气温凉爽时分期分批采收，</w:t>
      </w:r>
      <w:bookmarkStart w:id="68" w:name="_Toc277778717"/>
      <w:bookmarkEnd w:id="68"/>
      <w:bookmarkStart w:id="69" w:name="_Toc427677763"/>
      <w:bookmarkStart w:id="70" w:name="_Toc427677760"/>
      <w:r>
        <w:rPr>
          <w:rFonts w:hint="eastAsia" w:ascii="宋体" w:hAnsi="宋体" w:eastAsia="宋体"/>
        </w:rPr>
        <w:t>采收时操作人员应剪短指甲、戴手套操作，轻采、轻放、轻装、轻卸。</w:t>
      </w:r>
      <w:bookmarkEnd w:id="69"/>
      <w:r>
        <w:rPr>
          <w:rFonts w:hint="eastAsia" w:ascii="宋体" w:hAnsi="宋体" w:eastAsia="宋体"/>
        </w:rPr>
        <w:t>采收后及时套网套</w:t>
      </w:r>
      <w:bookmarkEnd w:id="70"/>
      <w:bookmarkStart w:id="71" w:name="_Toc277778718"/>
      <w:bookmarkEnd w:id="71"/>
      <w:bookmarkStart w:id="72" w:name="_Toc427677761"/>
      <w:r>
        <w:rPr>
          <w:rFonts w:hint="eastAsia" w:ascii="宋体" w:hAnsi="宋体" w:eastAsia="宋体" w:cs="宋体"/>
        </w:rPr>
        <w:t>并</w:t>
      </w:r>
      <w:r>
        <w:rPr>
          <w:rFonts w:hint="eastAsia" w:ascii="宋体" w:hAnsi="宋体" w:eastAsia="宋体"/>
        </w:rPr>
        <w:t>立即入冷库，待运的果实应放在阴凉处。</w:t>
      </w:r>
      <w:bookmarkEnd w:id="72"/>
    </w:p>
    <w:p>
      <w:pPr>
        <w:pStyle w:val="233"/>
        <w:numPr>
          <w:ilvl w:val="1"/>
          <w:numId w:val="33"/>
        </w:numPr>
        <w:jc w:val="left"/>
        <w:outlineLvl w:val="2"/>
      </w:pPr>
      <w:r>
        <w:rPr>
          <w:rFonts w:hint="eastAsia"/>
        </w:rPr>
        <w:t>其他要求</w:t>
      </w:r>
    </w:p>
    <w:p>
      <w:pPr>
        <w:pStyle w:val="235"/>
        <w:widowControl/>
        <w:numPr>
          <w:ilvl w:val="2"/>
          <w:numId w:val="33"/>
        </w:numPr>
        <w:spacing w:before="156" w:after="156"/>
        <w:jc w:val="left"/>
        <w:outlineLvl w:val="3"/>
        <w:rPr>
          <w:rFonts w:ascii="宋体" w:hAnsi="宋体" w:eastAsia="宋体"/>
        </w:rPr>
      </w:pPr>
      <w:r>
        <w:rPr>
          <w:rFonts w:hint="eastAsia" w:ascii="宋体" w:hAnsi="宋体" w:eastAsia="宋体" w:cs="宋体"/>
        </w:rPr>
        <w:t>发育异常的果实、初果期树的果实、施肥比例不当尤其是施氮肥过多的树的果实、树冠内膛的果实</w:t>
      </w:r>
      <w:bookmarkStart w:id="73" w:name="_Toc277778721"/>
      <w:bookmarkEnd w:id="73"/>
      <w:bookmarkStart w:id="74" w:name="_Toc427677764"/>
      <w:r>
        <w:rPr>
          <w:rFonts w:hint="eastAsia" w:ascii="宋体" w:hAnsi="宋体" w:eastAsia="宋体"/>
        </w:rPr>
        <w:t>，耐贮性较差，不宜进行长期贮藏</w:t>
      </w:r>
      <w:bookmarkEnd w:id="74"/>
      <w:r>
        <w:rPr>
          <w:rFonts w:hint="eastAsia" w:ascii="宋体" w:hAnsi="宋体" w:eastAsia="宋体"/>
        </w:rPr>
        <w:t>。</w:t>
      </w:r>
    </w:p>
    <w:p>
      <w:pPr>
        <w:pStyle w:val="235"/>
        <w:widowControl/>
        <w:numPr>
          <w:ilvl w:val="2"/>
          <w:numId w:val="33"/>
        </w:numPr>
        <w:spacing w:before="156" w:after="156"/>
        <w:jc w:val="left"/>
        <w:outlineLvl w:val="3"/>
        <w:rPr>
          <w:rFonts w:ascii="宋体" w:hAnsi="宋体" w:eastAsia="宋体"/>
        </w:rPr>
      </w:pPr>
      <w:bookmarkStart w:id="75" w:name="_Hlk161215921"/>
      <w:r>
        <w:rPr>
          <w:rFonts w:hint="eastAsia" w:ascii="宋体" w:hAnsi="宋体" w:eastAsia="宋体"/>
        </w:rPr>
        <w:t>包装要求参</w:t>
      </w:r>
      <w:bookmarkEnd w:id="75"/>
      <w:r>
        <w:rPr>
          <w:rFonts w:hint="eastAsia" w:ascii="宋体" w:hAnsi="宋体" w:eastAsia="宋体"/>
        </w:rPr>
        <w:t>照</w:t>
      </w:r>
      <w:r>
        <w:rPr>
          <w:rFonts w:eastAsia="宋体"/>
        </w:rPr>
        <w:t>NY/T 585</w:t>
      </w:r>
      <w:r>
        <w:rPr>
          <w:rFonts w:ascii="宋体" w:hAnsi="宋体" w:eastAsia="宋体"/>
        </w:rPr>
        <w:t>的</w:t>
      </w:r>
      <w:r>
        <w:rPr>
          <w:rFonts w:hint="eastAsia" w:ascii="宋体" w:hAnsi="宋体" w:eastAsia="宋体"/>
        </w:rPr>
        <w:t>规定，每一包装应是同一等级的产品。包装容器应清洁干燥，坚固耐压，无毒，无异味，无腐朽变质现象。果实单果拷贝纸包装后外套高密度发泡网套，发泡网套规格</w:t>
      </w:r>
      <w:r>
        <w:rPr>
          <w:rFonts w:eastAsia="宋体"/>
        </w:rPr>
        <w:t>为1.3 g～1.4 g，14</w:t>
      </w:r>
      <w:r>
        <w:rPr>
          <w:rFonts w:hint="eastAsia" w:eastAsia="宋体"/>
          <w:lang w:val="en-US" w:eastAsia="zh-CN"/>
        </w:rPr>
        <w:t xml:space="preserve"> cm</w:t>
      </w:r>
      <w:r>
        <w:rPr>
          <w:rFonts w:eastAsia="宋体"/>
        </w:rPr>
        <w:t>～16 cm，24目。操作人员戴手套装箱，果实逐层逐排摆放，松紧适度。果梗应横</w:t>
      </w:r>
      <w:r>
        <w:rPr>
          <w:rFonts w:hint="eastAsia" w:ascii="宋体" w:hAnsi="宋体" w:eastAsia="宋体"/>
        </w:rPr>
        <w:t>向插空摆放，避免损伤邻近果实。</w:t>
      </w:r>
    </w:p>
    <w:p>
      <w:pPr>
        <w:pStyle w:val="235"/>
        <w:widowControl/>
        <w:numPr>
          <w:ilvl w:val="2"/>
          <w:numId w:val="33"/>
        </w:numPr>
        <w:spacing w:before="156" w:after="156"/>
        <w:jc w:val="left"/>
        <w:outlineLvl w:val="3"/>
        <w:rPr>
          <w:rFonts w:eastAsia="宋体"/>
        </w:rPr>
      </w:pPr>
      <w:r>
        <w:rPr>
          <w:rFonts w:eastAsia="宋体"/>
        </w:rPr>
        <w:t>食品安全要求应符合GB 2761、GB 2762、GB 2763的规定。</w:t>
      </w:r>
    </w:p>
    <w:p>
      <w:pPr>
        <w:pStyle w:val="234"/>
        <w:numPr>
          <w:ilvl w:val="0"/>
          <w:numId w:val="33"/>
        </w:numPr>
        <w:spacing w:before="312" w:after="312"/>
        <w:outlineLvl w:val="1"/>
      </w:pPr>
      <w:bookmarkStart w:id="76" w:name="_Toc267659261"/>
      <w:bookmarkEnd w:id="76"/>
      <w:bookmarkStart w:id="77" w:name="_Toc277778722"/>
      <w:bookmarkEnd w:id="77"/>
      <w:bookmarkStart w:id="78" w:name="_Toc156037827"/>
      <w:bookmarkStart w:id="79" w:name="_Toc430336594"/>
      <w:bookmarkStart w:id="80" w:name="_Toc427680411"/>
      <w:bookmarkStart w:id="81" w:name="_Toc427680452"/>
      <w:bookmarkStart w:id="82" w:name="_Toc427675791"/>
      <w:bookmarkStart w:id="83" w:name="_Toc427680330"/>
      <w:bookmarkStart w:id="84" w:name="_Toc427677765"/>
      <w:bookmarkStart w:id="85" w:name="_Toc277778808"/>
      <w:r>
        <w:rPr>
          <w:rFonts w:hint="eastAsia"/>
        </w:rPr>
        <w:t>贮藏果质量</w:t>
      </w:r>
      <w:bookmarkEnd w:id="78"/>
      <w:bookmarkEnd w:id="79"/>
    </w:p>
    <w:p>
      <w:pPr>
        <w:pStyle w:val="233"/>
        <w:numPr>
          <w:ilvl w:val="1"/>
          <w:numId w:val="33"/>
        </w:numPr>
        <w:jc w:val="left"/>
        <w:outlineLvl w:val="2"/>
      </w:pPr>
      <w:bookmarkStart w:id="86" w:name="_Toc277778809"/>
      <w:r>
        <w:rPr>
          <w:rFonts w:hint="eastAsia"/>
        </w:rPr>
        <w:t>基础质量要求</w:t>
      </w:r>
    </w:p>
    <w:p>
      <w:pPr>
        <w:pStyle w:val="232"/>
      </w:pPr>
      <w:r>
        <w:rPr>
          <w:rFonts w:ascii="Times New Roman"/>
        </w:rPr>
        <w:t>贮藏果</w:t>
      </w:r>
      <w:r>
        <w:rPr>
          <w:rFonts w:hint="eastAsia"/>
        </w:rPr>
        <w:t>质量要求，见表</w:t>
      </w:r>
      <w:r>
        <w:t>2</w:t>
      </w:r>
      <w:r>
        <w:rPr>
          <w:rFonts w:hint="eastAsia"/>
        </w:rPr>
        <w:t>。</w:t>
      </w:r>
    </w:p>
    <w:p>
      <w:pPr>
        <w:pStyle w:val="113"/>
        <w:spacing w:before="156" w:after="156"/>
      </w:pPr>
      <w:r>
        <w:rPr>
          <w:rFonts w:hint="eastAsia"/>
        </w:rPr>
        <w:t>质量要求</w:t>
      </w:r>
    </w:p>
    <w:tbl>
      <w:tblPr>
        <w:tblStyle w:val="26"/>
        <w:tblW w:w="0" w:type="auto"/>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2137"/>
        <w:gridCol w:w="2622"/>
        <w:gridCol w:w="2622"/>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2137" w:type="dxa"/>
            <w:shd w:val="clear" w:color="auto" w:fill="auto"/>
            <w:vAlign w:val="center"/>
          </w:tcPr>
          <w:p>
            <w:pPr>
              <w:pStyle w:val="232"/>
              <w:ind w:firstLine="0" w:firstLineChars="0"/>
              <w:jc w:val="center"/>
              <w:rPr>
                <w:sz w:val="18"/>
                <w:szCs w:val="18"/>
              </w:rPr>
            </w:pPr>
            <w:r>
              <w:rPr>
                <w:rFonts w:hint="eastAsia"/>
                <w:sz w:val="18"/>
                <w:szCs w:val="18"/>
              </w:rPr>
              <w:t>项目</w:t>
            </w:r>
          </w:p>
        </w:tc>
        <w:tc>
          <w:tcPr>
            <w:tcW w:w="2622" w:type="dxa"/>
            <w:tcBorders>
              <w:bottom w:val="single" w:color="auto" w:sz="8" w:space="0"/>
            </w:tcBorders>
            <w:shd w:val="clear" w:color="auto" w:fill="auto"/>
            <w:vAlign w:val="center"/>
          </w:tcPr>
          <w:p>
            <w:pPr>
              <w:pStyle w:val="232"/>
              <w:ind w:firstLine="0" w:firstLineChars="0"/>
              <w:jc w:val="center"/>
              <w:rPr>
                <w:sz w:val="18"/>
                <w:szCs w:val="18"/>
              </w:rPr>
            </w:pPr>
            <w:r>
              <w:rPr>
                <w:rFonts w:hint="eastAsia"/>
                <w:sz w:val="18"/>
                <w:szCs w:val="18"/>
              </w:rPr>
              <w:t>指标</w:t>
            </w:r>
          </w:p>
        </w:tc>
        <w:tc>
          <w:tcPr>
            <w:tcW w:w="2622" w:type="dxa"/>
            <w:tcBorders>
              <w:bottom w:val="single" w:color="auto" w:sz="8" w:space="0"/>
            </w:tcBorders>
            <w:shd w:val="clear" w:color="auto" w:fill="auto"/>
            <w:vAlign w:val="center"/>
          </w:tcPr>
          <w:p>
            <w:pPr>
              <w:pStyle w:val="232"/>
              <w:ind w:firstLine="0" w:firstLineChars="0"/>
              <w:jc w:val="center"/>
              <w:rPr>
                <w:sz w:val="18"/>
                <w:szCs w:val="18"/>
              </w:rPr>
            </w:pPr>
            <w:r>
              <w:rPr>
                <w:rFonts w:hint="eastAsia"/>
                <w:sz w:val="18"/>
                <w:szCs w:val="18"/>
              </w:rPr>
              <w:t>检测依据</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2137" w:type="dxa"/>
            <w:shd w:val="clear" w:color="auto" w:fill="auto"/>
            <w:vAlign w:val="center"/>
          </w:tcPr>
          <w:p>
            <w:pPr>
              <w:pStyle w:val="232"/>
              <w:ind w:firstLine="0" w:firstLineChars="0"/>
              <w:jc w:val="center"/>
              <w:rPr>
                <w:rFonts w:ascii="Times New Roman" w:hAnsi="Times New Roman"/>
                <w:sz w:val="18"/>
                <w:szCs w:val="18"/>
              </w:rPr>
            </w:pPr>
            <w:r>
              <w:rPr>
                <w:rFonts w:ascii="Times New Roman" w:hAnsi="Times New Roman"/>
                <w:sz w:val="18"/>
                <w:szCs w:val="18"/>
              </w:rPr>
              <w:t>去皮果实硬度（kg/cm</w:t>
            </w:r>
            <w:r>
              <w:rPr>
                <w:rFonts w:ascii="Times New Roman" w:hAnsi="Times New Roman"/>
                <w:sz w:val="18"/>
                <w:szCs w:val="18"/>
                <w:vertAlign w:val="superscript"/>
              </w:rPr>
              <w:t>2</w:t>
            </w:r>
            <w:r>
              <w:rPr>
                <w:rFonts w:ascii="Times New Roman" w:hAnsi="Times New Roman"/>
                <w:sz w:val="18"/>
                <w:szCs w:val="18"/>
              </w:rPr>
              <w:t>）</w:t>
            </w:r>
          </w:p>
        </w:tc>
        <w:tc>
          <w:tcPr>
            <w:tcW w:w="5244" w:type="dxa"/>
            <w:gridSpan w:val="2"/>
            <w:shd w:val="clear" w:color="auto" w:fill="auto"/>
            <w:vAlign w:val="center"/>
          </w:tcPr>
          <w:p>
            <w:pPr>
              <w:pStyle w:val="232"/>
              <w:ind w:firstLine="0" w:firstLineChars="0"/>
              <w:jc w:val="center"/>
              <w:rPr>
                <w:rFonts w:ascii="Times New Roman" w:hAnsi="Times New Roman"/>
                <w:sz w:val="18"/>
                <w:szCs w:val="18"/>
              </w:rPr>
            </w:pPr>
            <w:r>
              <w:rPr>
                <w:rFonts w:ascii="Times New Roman" w:hAnsi="Times New Roman"/>
                <w:sz w:val="18"/>
                <w:szCs w:val="18"/>
              </w:rPr>
              <w:t>4.0~4.5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6" w:hRule="atLeast"/>
          <w:jc w:val="center"/>
        </w:trPr>
        <w:tc>
          <w:tcPr>
            <w:tcW w:w="2137" w:type="dxa"/>
            <w:shd w:val="clear" w:color="auto" w:fill="auto"/>
            <w:vAlign w:val="center"/>
          </w:tcPr>
          <w:p>
            <w:pPr>
              <w:pStyle w:val="232"/>
              <w:ind w:firstLine="0" w:firstLineChars="0"/>
              <w:jc w:val="center"/>
              <w:rPr>
                <w:rFonts w:ascii="Times New Roman" w:hAnsi="Times New Roman"/>
                <w:sz w:val="18"/>
                <w:szCs w:val="18"/>
              </w:rPr>
            </w:pPr>
            <w:r>
              <w:rPr>
                <w:rFonts w:ascii="Times New Roman" w:hAnsi="Times New Roman"/>
                <w:sz w:val="18"/>
                <w:szCs w:val="18"/>
              </w:rPr>
              <w:t>可溶性固形物（%）</w:t>
            </w:r>
          </w:p>
        </w:tc>
        <w:tc>
          <w:tcPr>
            <w:tcW w:w="2622" w:type="dxa"/>
            <w:shd w:val="clear" w:color="auto" w:fill="auto"/>
            <w:vAlign w:val="center"/>
          </w:tcPr>
          <w:p>
            <w:pPr>
              <w:pStyle w:val="232"/>
              <w:ind w:firstLine="0" w:firstLineChars="0"/>
              <w:jc w:val="center"/>
              <w:rPr>
                <w:rFonts w:hint="eastAsia" w:ascii="Times New Roman" w:hAnsi="Times New Roman" w:eastAsia="宋体"/>
                <w:sz w:val="18"/>
                <w:szCs w:val="18"/>
                <w:lang w:val="en-US" w:eastAsia="zh-CN"/>
              </w:rPr>
            </w:pPr>
            <w:r>
              <w:rPr>
                <w:rFonts w:ascii="Times New Roman" w:hAnsi="Times New Roman"/>
                <w:sz w:val="18"/>
                <w:szCs w:val="18"/>
              </w:rPr>
              <w:t>≥1</w:t>
            </w:r>
            <w:r>
              <w:rPr>
                <w:rFonts w:hint="eastAsia" w:ascii="Times New Roman" w:hAnsi="Times New Roman"/>
                <w:sz w:val="18"/>
                <w:szCs w:val="18"/>
                <w:lang w:val="en-US" w:eastAsia="zh-CN"/>
              </w:rPr>
              <w:t>2</w:t>
            </w:r>
          </w:p>
        </w:tc>
        <w:tc>
          <w:tcPr>
            <w:tcW w:w="2622" w:type="dxa"/>
            <w:tcBorders>
              <w:left w:val="single" w:color="auto" w:sz="4" w:space="0"/>
            </w:tcBorders>
          </w:tcPr>
          <w:p>
            <w:pPr>
              <w:pStyle w:val="232"/>
              <w:ind w:firstLine="0" w:firstLineChars="0"/>
              <w:jc w:val="center"/>
              <w:rPr>
                <w:rFonts w:ascii="Times New Roman" w:hAnsi="Times New Roman"/>
                <w:sz w:val="18"/>
                <w:szCs w:val="18"/>
              </w:rPr>
            </w:pPr>
            <w:r>
              <w:rPr>
                <w:rFonts w:ascii="Times New Roman" w:hAnsi="Times New Roman"/>
                <w:sz w:val="18"/>
                <w:szCs w:val="18"/>
              </w:rPr>
              <w:t>GB/T 10650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301" w:hRule="atLeast"/>
          <w:jc w:val="center"/>
        </w:trPr>
        <w:tc>
          <w:tcPr>
            <w:tcW w:w="2137" w:type="dxa"/>
            <w:shd w:val="clear" w:color="auto" w:fill="auto"/>
            <w:vAlign w:val="center"/>
          </w:tcPr>
          <w:p>
            <w:pPr>
              <w:pStyle w:val="232"/>
              <w:ind w:firstLine="0" w:firstLineChars="0"/>
              <w:jc w:val="center"/>
              <w:rPr>
                <w:rFonts w:ascii="Times New Roman" w:hAnsi="Times New Roman"/>
                <w:sz w:val="18"/>
                <w:szCs w:val="18"/>
              </w:rPr>
            </w:pPr>
            <w:r>
              <w:rPr>
                <w:rFonts w:ascii="Times New Roman" w:hAnsi="Times New Roman"/>
                <w:sz w:val="18"/>
                <w:szCs w:val="18"/>
              </w:rPr>
              <w:t>可滴定酸（%）</w:t>
            </w:r>
          </w:p>
        </w:tc>
        <w:tc>
          <w:tcPr>
            <w:tcW w:w="2622" w:type="dxa"/>
            <w:shd w:val="clear" w:color="auto" w:fill="auto"/>
            <w:vAlign w:val="center"/>
          </w:tcPr>
          <w:p>
            <w:pPr>
              <w:pStyle w:val="232"/>
              <w:ind w:firstLine="0" w:firstLineChars="0"/>
              <w:jc w:val="center"/>
              <w:rPr>
                <w:rFonts w:ascii="Times New Roman" w:hAnsi="Times New Roman"/>
                <w:sz w:val="18"/>
                <w:szCs w:val="18"/>
              </w:rPr>
            </w:pPr>
            <w:r>
              <w:rPr>
                <w:rFonts w:ascii="Times New Roman" w:hAnsi="Times New Roman"/>
                <w:sz w:val="18"/>
                <w:szCs w:val="18"/>
              </w:rPr>
              <w:t>≤0.09</w:t>
            </w:r>
          </w:p>
        </w:tc>
        <w:tc>
          <w:tcPr>
            <w:tcW w:w="2622" w:type="dxa"/>
            <w:tcBorders>
              <w:left w:val="single" w:color="auto" w:sz="4" w:space="0"/>
            </w:tcBorders>
          </w:tcPr>
          <w:p>
            <w:pPr>
              <w:pStyle w:val="232"/>
              <w:ind w:firstLine="0" w:firstLineChars="0"/>
              <w:jc w:val="center"/>
              <w:rPr>
                <w:rFonts w:ascii="Times New Roman" w:hAnsi="Times New Roman"/>
                <w:sz w:val="18"/>
                <w:szCs w:val="18"/>
              </w:rPr>
            </w:pPr>
            <w:r>
              <w:rPr>
                <w:rFonts w:ascii="Times New Roman" w:hAnsi="Times New Roman"/>
                <w:sz w:val="18"/>
                <w:szCs w:val="18"/>
              </w:rPr>
              <w:t>GB/T 10650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301" w:hRule="atLeast"/>
          <w:jc w:val="center"/>
        </w:trPr>
        <w:tc>
          <w:tcPr>
            <w:tcW w:w="2137" w:type="dxa"/>
            <w:tcBorders>
              <w:top w:val="single" w:color="auto" w:sz="4" w:space="0"/>
              <w:bottom w:val="single" w:color="auto" w:sz="4" w:space="0"/>
            </w:tcBorders>
            <w:shd w:val="clear" w:color="auto" w:fill="auto"/>
            <w:vAlign w:val="center"/>
          </w:tcPr>
          <w:p>
            <w:pPr>
              <w:pStyle w:val="232"/>
              <w:ind w:firstLine="0" w:firstLineChars="0"/>
              <w:jc w:val="center"/>
              <w:rPr>
                <w:rFonts w:ascii="Times New Roman" w:hAnsi="Times New Roman"/>
                <w:sz w:val="18"/>
                <w:szCs w:val="18"/>
              </w:rPr>
            </w:pPr>
            <w:r>
              <w:rPr>
                <w:rFonts w:ascii="Times New Roman" w:hAnsi="Times New Roman"/>
                <w:sz w:val="18"/>
                <w:szCs w:val="18"/>
              </w:rPr>
              <w:t>固酸比</w:t>
            </w:r>
          </w:p>
        </w:tc>
        <w:tc>
          <w:tcPr>
            <w:tcW w:w="2622" w:type="dxa"/>
            <w:tcBorders>
              <w:top w:val="single" w:color="auto" w:sz="4" w:space="0"/>
              <w:bottom w:val="single" w:color="auto" w:sz="4" w:space="0"/>
            </w:tcBorders>
            <w:shd w:val="clear" w:color="auto" w:fill="auto"/>
            <w:vAlign w:val="center"/>
          </w:tcPr>
          <w:p>
            <w:pPr>
              <w:pStyle w:val="232"/>
              <w:ind w:firstLine="0" w:firstLineChars="0"/>
              <w:jc w:val="center"/>
              <w:rPr>
                <w:rFonts w:ascii="Times New Roman" w:hAnsi="Times New Roman"/>
                <w:sz w:val="18"/>
                <w:szCs w:val="18"/>
              </w:rPr>
            </w:pPr>
            <w:r>
              <w:rPr>
                <w:rFonts w:ascii="Times New Roman" w:hAnsi="Times New Roman"/>
                <w:sz w:val="18"/>
                <w:szCs w:val="18"/>
              </w:rPr>
              <w:t>≥144</w:t>
            </w:r>
          </w:p>
        </w:tc>
        <w:tc>
          <w:tcPr>
            <w:tcW w:w="2622" w:type="dxa"/>
            <w:tcBorders>
              <w:top w:val="single" w:color="auto" w:sz="4" w:space="0"/>
              <w:left w:val="single" w:color="auto" w:sz="4" w:space="0"/>
              <w:bottom w:val="single" w:color="auto" w:sz="4" w:space="0"/>
            </w:tcBorders>
          </w:tcPr>
          <w:p>
            <w:pPr>
              <w:pStyle w:val="232"/>
              <w:ind w:firstLine="0" w:firstLineChars="0"/>
              <w:jc w:val="center"/>
              <w:rPr>
                <w:rFonts w:ascii="Times New Roman" w:hAnsi="Times New Roman"/>
                <w:sz w:val="18"/>
                <w:szCs w:val="18"/>
              </w:rPr>
            </w:pPr>
            <w:r>
              <w:rPr>
                <w:rFonts w:ascii="Times New Roman" w:hAnsi="Times New Roman"/>
                <w:sz w:val="18"/>
                <w:szCs w:val="18"/>
              </w:rPr>
              <w:t>GB/T 10650</w:t>
            </w:r>
          </w:p>
        </w:tc>
      </w:tr>
    </w:tbl>
    <w:p>
      <w:pPr>
        <w:pStyle w:val="233"/>
        <w:numPr>
          <w:ilvl w:val="1"/>
          <w:numId w:val="33"/>
        </w:numPr>
        <w:jc w:val="left"/>
        <w:outlineLvl w:val="2"/>
      </w:pPr>
      <w:r>
        <w:rPr>
          <w:rFonts w:hint="eastAsia"/>
        </w:rPr>
        <w:t>等级划分</w:t>
      </w:r>
    </w:p>
    <w:p>
      <w:pPr>
        <w:pStyle w:val="232"/>
        <w:rPr>
          <w:rFonts w:ascii="Times New Roman"/>
        </w:rPr>
      </w:pPr>
      <w:r>
        <w:rPr>
          <w:rFonts w:hint="eastAsia" w:ascii="Times New Roman"/>
        </w:rPr>
        <w:t>各等级的玉露香梨</w:t>
      </w:r>
      <w:r>
        <w:rPr>
          <w:rFonts w:ascii="Times New Roman"/>
        </w:rPr>
        <w:t>贮藏果</w:t>
      </w:r>
      <w:bookmarkEnd w:id="86"/>
      <w:r>
        <w:rPr>
          <w:rFonts w:hint="eastAsia" w:ascii="Times New Roman"/>
        </w:rPr>
        <w:t>除了符合</w:t>
      </w:r>
      <w:r>
        <w:rPr>
          <w:rFonts w:ascii="Times New Roman"/>
        </w:rPr>
        <w:t>5.1</w:t>
      </w:r>
      <w:r>
        <w:t>的</w:t>
      </w:r>
      <w:r>
        <w:rPr>
          <w:rFonts w:hint="eastAsia"/>
        </w:rPr>
        <w:t>质量</w:t>
      </w:r>
      <w:r>
        <w:t>要</w:t>
      </w:r>
      <w:r>
        <w:rPr>
          <w:rFonts w:ascii="Times New Roman"/>
        </w:rPr>
        <w:t>求</w:t>
      </w:r>
      <w:r>
        <w:rPr>
          <w:rFonts w:hint="eastAsia" w:ascii="Times New Roman"/>
        </w:rPr>
        <w:t>外</w:t>
      </w:r>
      <w:r>
        <w:rPr>
          <w:rFonts w:ascii="Times New Roman"/>
        </w:rPr>
        <w:t>，</w:t>
      </w:r>
      <w:r>
        <w:rPr>
          <w:rFonts w:hint="eastAsia" w:ascii="Times New Roman"/>
        </w:rPr>
        <w:t>还应符合</w:t>
      </w:r>
      <w:r>
        <w:rPr>
          <w:rFonts w:ascii="Times New Roman"/>
        </w:rPr>
        <w:t>表3</w:t>
      </w:r>
      <w:r>
        <w:rPr>
          <w:rFonts w:hint="eastAsia" w:ascii="Times New Roman"/>
        </w:rPr>
        <w:t>的要求</w:t>
      </w:r>
      <w:r>
        <w:rPr>
          <w:rFonts w:ascii="Times New Roman"/>
        </w:rPr>
        <w:t>。</w:t>
      </w:r>
    </w:p>
    <w:p>
      <w:pPr>
        <w:pStyle w:val="238"/>
        <w:widowControl/>
        <w:numPr>
          <w:ilvl w:val="0"/>
          <w:numId w:val="16"/>
        </w:numPr>
        <w:tabs>
          <w:tab w:val="left" w:pos="360"/>
        </w:tabs>
        <w:spacing w:before="156" w:after="156"/>
        <w:ind w:left="210"/>
      </w:pPr>
      <w:r>
        <w:rPr>
          <w:rFonts w:hint="eastAsia"/>
        </w:rPr>
        <w:t>玉露香梨质量等级要求</w:t>
      </w:r>
    </w:p>
    <w:tbl>
      <w:tblPr>
        <w:tblStyle w:val="26"/>
        <w:tblW w:w="0" w:type="auto"/>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2230"/>
        <w:gridCol w:w="2230"/>
        <w:gridCol w:w="2230"/>
        <w:gridCol w:w="2230"/>
      </w:tblGrid>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1" w:hRule="atLeast"/>
          <w:jc w:val="center"/>
        </w:trPr>
        <w:tc>
          <w:tcPr>
            <w:tcW w:w="2230" w:type="dxa"/>
            <w:tcBorders>
              <w:top w:val="single" w:color="000000" w:sz="8" w:space="0"/>
              <w:bottom w:val="single" w:color="000000" w:sz="8" w:space="0"/>
            </w:tcBorders>
          </w:tcPr>
          <w:p>
            <w:pPr>
              <w:pStyle w:val="232"/>
              <w:ind w:firstLine="0" w:firstLineChars="0"/>
              <w:rPr>
                <w:rFonts w:ascii="Times New Roman"/>
                <w:sz w:val="18"/>
                <w:szCs w:val="18"/>
              </w:rPr>
            </w:pPr>
            <w:r>
              <w:rPr>
                <w:rFonts w:ascii="Times New Roman"/>
                <w:sz w:val="18"/>
                <w:szCs w:val="18"/>
              </w:rPr>
              <w:t>项目指标</w:t>
            </w:r>
          </w:p>
        </w:tc>
        <w:tc>
          <w:tcPr>
            <w:tcW w:w="2230" w:type="dxa"/>
            <w:tcBorders>
              <w:top w:val="single" w:color="000000" w:sz="8" w:space="0"/>
              <w:bottom w:val="single" w:color="000000" w:sz="8" w:space="0"/>
            </w:tcBorders>
          </w:tcPr>
          <w:p>
            <w:pPr>
              <w:pStyle w:val="232"/>
              <w:ind w:firstLine="0" w:firstLineChars="0"/>
              <w:rPr>
                <w:rFonts w:ascii="Times New Roman"/>
                <w:sz w:val="18"/>
                <w:szCs w:val="18"/>
              </w:rPr>
            </w:pPr>
            <w:r>
              <w:rPr>
                <w:rFonts w:ascii="Times New Roman"/>
                <w:sz w:val="18"/>
                <w:szCs w:val="18"/>
              </w:rPr>
              <w:t>优等品</w:t>
            </w:r>
          </w:p>
        </w:tc>
        <w:tc>
          <w:tcPr>
            <w:tcW w:w="2230" w:type="dxa"/>
            <w:tcBorders>
              <w:top w:val="single" w:color="000000" w:sz="8" w:space="0"/>
              <w:bottom w:val="single" w:color="000000" w:sz="8" w:space="0"/>
            </w:tcBorders>
          </w:tcPr>
          <w:p>
            <w:pPr>
              <w:pStyle w:val="232"/>
              <w:ind w:firstLine="0" w:firstLineChars="0"/>
              <w:rPr>
                <w:rFonts w:ascii="Times New Roman"/>
                <w:sz w:val="18"/>
                <w:szCs w:val="18"/>
              </w:rPr>
            </w:pPr>
            <w:r>
              <w:rPr>
                <w:rFonts w:ascii="Times New Roman"/>
                <w:sz w:val="18"/>
                <w:szCs w:val="18"/>
              </w:rPr>
              <w:t>一等品</w:t>
            </w:r>
          </w:p>
        </w:tc>
        <w:tc>
          <w:tcPr>
            <w:tcW w:w="2230" w:type="dxa"/>
            <w:tcBorders>
              <w:top w:val="single" w:color="000000" w:sz="8" w:space="0"/>
              <w:bottom w:val="single" w:color="000000" w:sz="8" w:space="0"/>
            </w:tcBorders>
          </w:tcPr>
          <w:p>
            <w:pPr>
              <w:pStyle w:val="232"/>
              <w:ind w:firstLine="0" w:firstLineChars="0"/>
              <w:rPr>
                <w:rFonts w:ascii="Times New Roman"/>
                <w:sz w:val="18"/>
                <w:szCs w:val="18"/>
              </w:rPr>
            </w:pPr>
            <w:r>
              <w:rPr>
                <w:rFonts w:ascii="Times New Roman"/>
                <w:sz w:val="18"/>
                <w:szCs w:val="18"/>
              </w:rPr>
              <w:t>二等品</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24" w:hRule="atLeast"/>
          <w:jc w:val="center"/>
        </w:trPr>
        <w:tc>
          <w:tcPr>
            <w:tcW w:w="2230" w:type="dxa"/>
          </w:tcPr>
          <w:p>
            <w:pPr>
              <w:pStyle w:val="232"/>
              <w:ind w:firstLine="0" w:firstLineChars="0"/>
              <w:rPr>
                <w:rFonts w:ascii="Times New Roman"/>
                <w:sz w:val="18"/>
                <w:szCs w:val="18"/>
              </w:rPr>
            </w:pPr>
            <w:r>
              <w:rPr>
                <w:rFonts w:ascii="Times New Roman"/>
                <w:sz w:val="18"/>
                <w:szCs w:val="18"/>
              </w:rPr>
              <w:t>果形</w:t>
            </w:r>
          </w:p>
        </w:tc>
        <w:tc>
          <w:tcPr>
            <w:tcW w:w="2230" w:type="dxa"/>
          </w:tcPr>
          <w:p>
            <w:pPr>
              <w:pStyle w:val="232"/>
              <w:ind w:firstLine="0" w:firstLineChars="0"/>
              <w:rPr>
                <w:rFonts w:ascii="Times New Roman"/>
                <w:sz w:val="18"/>
                <w:szCs w:val="18"/>
              </w:rPr>
            </w:pPr>
            <w:r>
              <w:rPr>
                <w:rFonts w:ascii="Times New Roman"/>
                <w:sz w:val="18"/>
                <w:szCs w:val="18"/>
              </w:rPr>
              <w:t>果形端正，具有玉露香固有的特征</w:t>
            </w:r>
          </w:p>
        </w:tc>
        <w:tc>
          <w:tcPr>
            <w:tcW w:w="2230" w:type="dxa"/>
          </w:tcPr>
          <w:p>
            <w:pPr>
              <w:pStyle w:val="232"/>
              <w:ind w:firstLine="0" w:firstLineChars="0"/>
              <w:rPr>
                <w:rFonts w:ascii="Times New Roman"/>
                <w:sz w:val="18"/>
                <w:szCs w:val="18"/>
              </w:rPr>
            </w:pPr>
            <w:r>
              <w:rPr>
                <w:rFonts w:ascii="Times New Roman"/>
                <w:sz w:val="18"/>
                <w:szCs w:val="18"/>
              </w:rPr>
              <w:t>果形正常，允许有轻微缺陷，具有玉露香梨应有的特征</w:t>
            </w:r>
          </w:p>
        </w:tc>
        <w:tc>
          <w:tcPr>
            <w:tcW w:w="2230" w:type="dxa"/>
          </w:tcPr>
          <w:p>
            <w:pPr>
              <w:pStyle w:val="232"/>
              <w:ind w:firstLine="0" w:firstLineChars="0"/>
              <w:rPr>
                <w:rFonts w:ascii="Times New Roman"/>
                <w:sz w:val="18"/>
                <w:szCs w:val="18"/>
              </w:rPr>
            </w:pPr>
            <w:r>
              <w:rPr>
                <w:rFonts w:ascii="Times New Roman"/>
                <w:sz w:val="18"/>
                <w:szCs w:val="18"/>
              </w:rPr>
              <w:t>果形允许有缺陷，但仍保持本品种应有的特征，不得有偏缺过大的畸形果</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1" w:hRule="atLeast"/>
          <w:jc w:val="center"/>
        </w:trPr>
        <w:tc>
          <w:tcPr>
            <w:tcW w:w="2230" w:type="dxa"/>
          </w:tcPr>
          <w:p>
            <w:pPr>
              <w:pStyle w:val="232"/>
              <w:ind w:firstLine="0" w:firstLineChars="0"/>
              <w:rPr>
                <w:rFonts w:ascii="Times New Roman"/>
                <w:sz w:val="18"/>
                <w:szCs w:val="18"/>
              </w:rPr>
            </w:pPr>
            <w:r>
              <w:rPr>
                <w:rFonts w:ascii="Times New Roman"/>
                <w:sz w:val="18"/>
                <w:szCs w:val="18"/>
              </w:rPr>
              <w:t>果梗</w:t>
            </w:r>
          </w:p>
        </w:tc>
        <w:tc>
          <w:tcPr>
            <w:tcW w:w="2230" w:type="dxa"/>
          </w:tcPr>
          <w:p>
            <w:pPr>
              <w:pStyle w:val="232"/>
              <w:ind w:firstLine="0" w:firstLineChars="0"/>
              <w:rPr>
                <w:rFonts w:ascii="Times New Roman"/>
                <w:sz w:val="18"/>
                <w:szCs w:val="18"/>
              </w:rPr>
            </w:pPr>
            <w:r>
              <w:rPr>
                <w:rFonts w:ascii="Times New Roman"/>
                <w:sz w:val="18"/>
                <w:szCs w:val="18"/>
              </w:rPr>
              <w:t>果梗完整（不包括商品化处理造成的果梗缺省）</w:t>
            </w:r>
          </w:p>
        </w:tc>
        <w:tc>
          <w:tcPr>
            <w:tcW w:w="2230" w:type="dxa"/>
          </w:tcPr>
          <w:p>
            <w:pPr>
              <w:pStyle w:val="232"/>
              <w:ind w:firstLine="0" w:firstLineChars="0"/>
              <w:rPr>
                <w:rFonts w:ascii="Times New Roman"/>
                <w:sz w:val="18"/>
                <w:szCs w:val="18"/>
              </w:rPr>
            </w:pPr>
            <w:r>
              <w:rPr>
                <w:rFonts w:ascii="Times New Roman"/>
                <w:sz w:val="18"/>
                <w:szCs w:val="18"/>
              </w:rPr>
              <w:t>果梗完整（不包括商品化处理造成的果梗缺省）</w:t>
            </w:r>
          </w:p>
        </w:tc>
        <w:tc>
          <w:tcPr>
            <w:tcW w:w="2230" w:type="dxa"/>
          </w:tcPr>
          <w:p>
            <w:pPr>
              <w:pStyle w:val="232"/>
              <w:ind w:firstLine="0" w:firstLineChars="0"/>
              <w:rPr>
                <w:rFonts w:ascii="Times New Roman"/>
                <w:sz w:val="18"/>
                <w:szCs w:val="18"/>
              </w:rPr>
            </w:pPr>
            <w:r>
              <w:rPr>
                <w:rFonts w:ascii="Times New Roman"/>
                <w:sz w:val="18"/>
                <w:szCs w:val="18"/>
              </w:rPr>
              <w:t>允许果梗轻微损伤</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1" w:hRule="atLeast"/>
          <w:jc w:val="center"/>
        </w:trPr>
        <w:tc>
          <w:tcPr>
            <w:tcW w:w="2230" w:type="dxa"/>
          </w:tcPr>
          <w:p>
            <w:pPr>
              <w:pStyle w:val="232"/>
              <w:ind w:firstLine="0" w:firstLineChars="0"/>
              <w:rPr>
                <w:rFonts w:ascii="Times New Roman"/>
                <w:sz w:val="18"/>
                <w:szCs w:val="18"/>
              </w:rPr>
            </w:pPr>
            <w:r>
              <w:rPr>
                <w:rFonts w:ascii="Times New Roman"/>
                <w:sz w:val="18"/>
                <w:szCs w:val="18"/>
              </w:rPr>
              <w:t>大小整齐度</w:t>
            </w:r>
          </w:p>
        </w:tc>
        <w:tc>
          <w:tcPr>
            <w:tcW w:w="6690" w:type="dxa"/>
            <w:gridSpan w:val="3"/>
          </w:tcPr>
          <w:p>
            <w:pPr>
              <w:pStyle w:val="232"/>
              <w:ind w:firstLine="0" w:firstLineChars="0"/>
              <w:rPr>
                <w:rFonts w:ascii="Times New Roman"/>
                <w:sz w:val="18"/>
                <w:szCs w:val="18"/>
              </w:rPr>
            </w:pPr>
            <w:r>
              <w:rPr>
                <w:rFonts w:ascii="Times New Roman"/>
                <w:sz w:val="18"/>
                <w:szCs w:val="18"/>
              </w:rPr>
              <w:t>各等级果的大小尺寸不作具体规定，可根据收购商要求操作，但要求应具有玉露香基本的大小。而大小整齐度应有硬性规定，要求果实横径差异&lt;5</w:t>
            </w:r>
            <w:r>
              <w:rPr>
                <w:rFonts w:hint="eastAsia" w:ascii="Times New Roman"/>
                <w:sz w:val="18"/>
                <w:szCs w:val="18"/>
                <w:lang w:val="en-US" w:eastAsia="zh-CN"/>
              </w:rPr>
              <w:t xml:space="preserve"> </w:t>
            </w:r>
            <w:r>
              <w:rPr>
                <w:rFonts w:ascii="Times New Roman"/>
                <w:sz w:val="18"/>
                <w:szCs w:val="18"/>
              </w:rPr>
              <w:t>mm</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41" w:hRule="atLeast"/>
          <w:jc w:val="center"/>
        </w:trPr>
        <w:tc>
          <w:tcPr>
            <w:tcW w:w="2230" w:type="dxa"/>
          </w:tcPr>
          <w:p>
            <w:pPr>
              <w:pStyle w:val="232"/>
              <w:ind w:firstLine="0" w:firstLineChars="0"/>
              <w:rPr>
                <w:rFonts w:ascii="Times New Roman"/>
                <w:sz w:val="18"/>
                <w:szCs w:val="18"/>
              </w:rPr>
            </w:pPr>
            <w:r>
              <w:rPr>
                <w:rFonts w:ascii="Times New Roman"/>
                <w:sz w:val="18"/>
                <w:szCs w:val="18"/>
              </w:rPr>
              <w:t>果面缺陷</w:t>
            </w: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①刺伤、破皮划伤</w:t>
            </w:r>
          </w:p>
          <w:p>
            <w:pPr>
              <w:pStyle w:val="232"/>
              <w:ind w:firstLine="0" w:firstLineChars="0"/>
              <w:rPr>
                <w:rFonts w:ascii="Times New Roman"/>
                <w:sz w:val="18"/>
                <w:szCs w:val="18"/>
              </w:rPr>
            </w:pPr>
            <w:r>
              <w:rPr>
                <w:rFonts w:ascii="Times New Roman"/>
                <w:sz w:val="18"/>
                <w:szCs w:val="18"/>
              </w:rPr>
              <w:t>②碰压伤</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③磨伤（枝磨、叶磨）</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④水锈、药斑</w:t>
            </w: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⑤日灼</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⑥雹伤</w:t>
            </w: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⑦虫伤</w:t>
            </w: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⑧病害</w:t>
            </w:r>
          </w:p>
          <w:p>
            <w:pPr>
              <w:pStyle w:val="232"/>
              <w:ind w:firstLine="0" w:firstLineChars="0"/>
              <w:rPr>
                <w:rFonts w:ascii="Times New Roman"/>
                <w:sz w:val="18"/>
                <w:szCs w:val="18"/>
              </w:rPr>
            </w:pPr>
            <w:r>
              <w:rPr>
                <w:rFonts w:ascii="Times New Roman"/>
                <w:sz w:val="18"/>
                <w:szCs w:val="18"/>
              </w:rPr>
              <w:t>⑨虫果</w:t>
            </w:r>
          </w:p>
        </w:tc>
        <w:tc>
          <w:tcPr>
            <w:tcW w:w="2230" w:type="dxa"/>
          </w:tcPr>
          <w:p>
            <w:pPr>
              <w:pStyle w:val="232"/>
              <w:ind w:firstLine="0" w:firstLineChars="0"/>
              <w:rPr>
                <w:rFonts w:ascii="Times New Roman"/>
                <w:sz w:val="18"/>
                <w:szCs w:val="18"/>
              </w:rPr>
            </w:pPr>
            <w:r>
              <w:rPr>
                <w:rFonts w:ascii="Times New Roman"/>
                <w:sz w:val="18"/>
                <w:szCs w:val="18"/>
              </w:rPr>
              <w:t>允许下列规定的缺陷不超过1项：</w:t>
            </w: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允许轻微薄层总面积不超过果面的1/20</w:t>
            </w: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r>
              <w:rPr>
                <w:rFonts w:ascii="Times New Roman"/>
                <w:sz w:val="18"/>
                <w:szCs w:val="18"/>
              </w:rPr>
              <w:t>不允许</w:t>
            </w:r>
          </w:p>
        </w:tc>
        <w:tc>
          <w:tcPr>
            <w:tcW w:w="2230" w:type="dxa"/>
          </w:tcPr>
          <w:p>
            <w:pPr>
              <w:pStyle w:val="232"/>
              <w:ind w:firstLine="0" w:firstLineChars="0"/>
              <w:rPr>
                <w:rFonts w:ascii="Times New Roman"/>
                <w:sz w:val="18"/>
                <w:szCs w:val="18"/>
              </w:rPr>
            </w:pPr>
            <w:r>
              <w:rPr>
                <w:rFonts w:ascii="Times New Roman"/>
                <w:sz w:val="18"/>
                <w:szCs w:val="18"/>
              </w:rPr>
              <w:t>允许下列规定的缺陷不超过2项：</w:t>
            </w:r>
          </w:p>
          <w:p>
            <w:pPr>
              <w:pStyle w:val="232"/>
              <w:ind w:firstLine="0" w:firstLineChars="0"/>
              <w:rPr>
                <w:rFonts w:ascii="Times New Roman"/>
                <w:sz w:val="18"/>
                <w:szCs w:val="18"/>
              </w:rPr>
            </w:pPr>
            <w:r>
              <w:rPr>
                <w:rFonts w:ascii="Times New Roman"/>
                <w:sz w:val="18"/>
                <w:szCs w:val="18"/>
              </w:rPr>
              <w:t>不允许</w:t>
            </w:r>
            <w:bookmarkStart w:id="280" w:name="_GoBack"/>
            <w:bookmarkEnd w:id="280"/>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rPr>
            </w:pPr>
          </w:p>
          <w:p>
            <w:pPr>
              <w:pStyle w:val="232"/>
              <w:ind w:firstLine="0" w:firstLineChars="0"/>
              <w:rPr>
                <w:rFonts w:ascii="Times New Roman"/>
                <w:sz w:val="18"/>
                <w:szCs w:val="18"/>
              </w:rPr>
            </w:pPr>
            <w:r>
              <w:rPr>
                <w:rFonts w:ascii="Times New Roman"/>
                <w:sz w:val="18"/>
                <w:szCs w:val="18"/>
              </w:rPr>
              <w:t>允许轻微薄层总面积不超过1/10</w:t>
            </w:r>
          </w:p>
          <w:p>
            <w:pPr>
              <w:pStyle w:val="232"/>
              <w:ind w:firstLine="0" w:firstLineChars="0"/>
              <w:rPr>
                <w:rFonts w:ascii="Times New Roman"/>
                <w:sz w:val="18"/>
                <w:szCs w:val="18"/>
              </w:rPr>
            </w:pPr>
            <w:r>
              <w:rPr>
                <w:rFonts w:ascii="Times New Roman"/>
                <w:sz w:val="18"/>
                <w:szCs w:val="18"/>
              </w:rPr>
              <w:t>允许轻微的日灼伤害，总面积不超过0.5 cm</w:t>
            </w:r>
            <w:r>
              <w:rPr>
                <w:rFonts w:ascii="Times New Roman"/>
                <w:sz w:val="18"/>
                <w:szCs w:val="18"/>
                <w:vertAlign w:val="superscript"/>
              </w:rPr>
              <w:t>2</w:t>
            </w:r>
            <w:r>
              <w:rPr>
                <w:rFonts w:ascii="Times New Roman"/>
                <w:sz w:val="18"/>
                <w:szCs w:val="18"/>
              </w:rPr>
              <w:t>，但不得有伤部果肉变软</w:t>
            </w: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p>
          <w:p>
            <w:pPr>
              <w:pStyle w:val="232"/>
              <w:ind w:firstLine="0" w:firstLineChars="0"/>
              <w:rPr>
                <w:rFonts w:ascii="Times New Roman"/>
                <w:sz w:val="18"/>
                <w:szCs w:val="18"/>
                <w:vertAlign w:val="superscript"/>
              </w:rPr>
            </w:pPr>
            <w:r>
              <w:rPr>
                <w:rFonts w:ascii="Times New Roman"/>
                <w:sz w:val="18"/>
                <w:szCs w:val="18"/>
              </w:rPr>
              <w:t>允许干枯虫伤2处，总面积不超过0.2 cm</w:t>
            </w:r>
            <w:r>
              <w:rPr>
                <w:rFonts w:ascii="Times New Roman"/>
                <w:sz w:val="18"/>
                <w:szCs w:val="18"/>
                <w:vertAlign w:val="superscript"/>
              </w:rPr>
              <w:t>2</w:t>
            </w: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r>
              <w:rPr>
                <w:rFonts w:ascii="Times New Roman"/>
                <w:sz w:val="18"/>
                <w:szCs w:val="18"/>
              </w:rPr>
              <w:t>不允许</w:t>
            </w:r>
          </w:p>
        </w:tc>
        <w:tc>
          <w:tcPr>
            <w:tcW w:w="2230" w:type="dxa"/>
          </w:tcPr>
          <w:p>
            <w:pPr>
              <w:pStyle w:val="232"/>
              <w:ind w:firstLine="0" w:firstLineChars="0"/>
              <w:rPr>
                <w:rFonts w:ascii="Times New Roman"/>
                <w:sz w:val="18"/>
                <w:szCs w:val="18"/>
              </w:rPr>
            </w:pPr>
            <w:r>
              <w:rPr>
                <w:rFonts w:ascii="Times New Roman"/>
                <w:sz w:val="18"/>
                <w:szCs w:val="18"/>
              </w:rPr>
              <w:t>允许下列规定的缺陷不超过3项：</w:t>
            </w: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r>
              <w:rPr>
                <w:rFonts w:ascii="Times New Roman"/>
                <w:sz w:val="18"/>
                <w:szCs w:val="18"/>
              </w:rPr>
              <w:t>允许轻微碰压伤，总面积不超过0.5 cm</w:t>
            </w:r>
            <w:r>
              <w:rPr>
                <w:rFonts w:ascii="Times New Roman"/>
                <w:sz w:val="18"/>
                <w:szCs w:val="18"/>
                <w:vertAlign w:val="superscript"/>
              </w:rPr>
              <w:t>2</w:t>
            </w:r>
            <w:r>
              <w:rPr>
                <w:rFonts w:ascii="Times New Roman"/>
                <w:sz w:val="18"/>
                <w:szCs w:val="18"/>
              </w:rPr>
              <w:t>，其中最大处面积不得超过0.3 cm</w:t>
            </w:r>
            <w:r>
              <w:rPr>
                <w:rFonts w:ascii="Times New Roman"/>
                <w:sz w:val="18"/>
                <w:szCs w:val="18"/>
                <w:vertAlign w:val="superscript"/>
              </w:rPr>
              <w:t>2</w:t>
            </w:r>
            <w:r>
              <w:rPr>
                <w:rFonts w:ascii="Times New Roman"/>
                <w:sz w:val="18"/>
                <w:szCs w:val="18"/>
              </w:rPr>
              <w:t>，伤处不得变褐，对果肉无明显伤害</w:t>
            </w:r>
          </w:p>
          <w:p>
            <w:pPr>
              <w:pStyle w:val="232"/>
              <w:ind w:firstLine="0" w:firstLineChars="0"/>
              <w:rPr>
                <w:rFonts w:ascii="Times New Roman"/>
                <w:sz w:val="18"/>
                <w:szCs w:val="18"/>
                <w:vertAlign w:val="superscript"/>
              </w:rPr>
            </w:pPr>
            <w:r>
              <w:rPr>
                <w:rFonts w:ascii="Times New Roman"/>
                <w:sz w:val="18"/>
                <w:szCs w:val="18"/>
              </w:rPr>
              <w:t>允许不严重影响果实外观的轻微磨伤，总面积不超过1.0 cm</w:t>
            </w:r>
            <w:r>
              <w:rPr>
                <w:rFonts w:ascii="Times New Roman"/>
                <w:sz w:val="18"/>
                <w:szCs w:val="18"/>
                <w:vertAlign w:val="superscript"/>
              </w:rPr>
              <w:t>2</w:t>
            </w:r>
          </w:p>
          <w:p>
            <w:pPr>
              <w:pStyle w:val="232"/>
              <w:ind w:firstLine="0" w:firstLineChars="0"/>
              <w:rPr>
                <w:rFonts w:ascii="Times New Roman"/>
                <w:sz w:val="18"/>
                <w:szCs w:val="18"/>
              </w:rPr>
            </w:pPr>
            <w:r>
              <w:rPr>
                <w:rFonts w:ascii="Times New Roman"/>
                <w:sz w:val="18"/>
                <w:szCs w:val="18"/>
              </w:rPr>
              <w:t>允许轻微薄层总面积不超过果面的1/5</w:t>
            </w:r>
          </w:p>
          <w:p>
            <w:pPr>
              <w:pStyle w:val="232"/>
              <w:ind w:firstLine="0" w:firstLineChars="0"/>
              <w:rPr>
                <w:rFonts w:ascii="Times New Roman"/>
                <w:sz w:val="18"/>
                <w:szCs w:val="18"/>
              </w:rPr>
            </w:pPr>
            <w:r>
              <w:rPr>
                <w:rFonts w:ascii="Times New Roman"/>
                <w:sz w:val="18"/>
                <w:szCs w:val="18"/>
              </w:rPr>
              <w:t>允许轻微的日灼伤害，总面积不超过1.0 cm</w:t>
            </w:r>
            <w:r>
              <w:rPr>
                <w:rFonts w:ascii="Times New Roman"/>
                <w:sz w:val="18"/>
                <w:szCs w:val="18"/>
                <w:vertAlign w:val="superscript"/>
              </w:rPr>
              <w:t>2</w:t>
            </w:r>
            <w:r>
              <w:rPr>
                <w:rFonts w:ascii="Times New Roman"/>
                <w:sz w:val="18"/>
                <w:szCs w:val="18"/>
              </w:rPr>
              <w:t>，但不得有伤部果肉变软</w:t>
            </w:r>
          </w:p>
          <w:p>
            <w:pPr>
              <w:pStyle w:val="232"/>
              <w:ind w:firstLine="0" w:firstLineChars="0"/>
              <w:rPr>
                <w:rFonts w:ascii="Times New Roman"/>
                <w:sz w:val="18"/>
                <w:szCs w:val="18"/>
                <w:vertAlign w:val="superscript"/>
              </w:rPr>
            </w:pPr>
            <w:r>
              <w:rPr>
                <w:rFonts w:ascii="Times New Roman"/>
                <w:sz w:val="18"/>
                <w:szCs w:val="18"/>
              </w:rPr>
              <w:t>允许轻微者2处，每处面积不超过1.0 cm</w:t>
            </w:r>
            <w:r>
              <w:rPr>
                <w:rFonts w:ascii="Times New Roman"/>
                <w:sz w:val="18"/>
                <w:szCs w:val="18"/>
                <w:vertAlign w:val="superscript"/>
              </w:rPr>
              <w:t>2</w:t>
            </w:r>
          </w:p>
          <w:p>
            <w:pPr>
              <w:pStyle w:val="232"/>
              <w:ind w:firstLine="0" w:firstLineChars="0"/>
              <w:rPr>
                <w:rFonts w:ascii="Times New Roman"/>
                <w:sz w:val="18"/>
                <w:szCs w:val="18"/>
                <w:vertAlign w:val="superscript"/>
              </w:rPr>
            </w:pPr>
            <w:r>
              <w:rPr>
                <w:rFonts w:ascii="Times New Roman"/>
                <w:sz w:val="18"/>
                <w:szCs w:val="18"/>
              </w:rPr>
              <w:t>干枯虫伤处不限，不超过1.0 cm</w:t>
            </w:r>
            <w:r>
              <w:rPr>
                <w:rFonts w:ascii="Times New Roman"/>
                <w:sz w:val="18"/>
                <w:szCs w:val="18"/>
                <w:vertAlign w:val="superscript"/>
              </w:rPr>
              <w:t>2</w:t>
            </w:r>
          </w:p>
          <w:p>
            <w:pPr>
              <w:pStyle w:val="232"/>
              <w:ind w:firstLine="0" w:firstLineChars="0"/>
              <w:rPr>
                <w:rFonts w:ascii="Times New Roman"/>
                <w:sz w:val="18"/>
                <w:szCs w:val="18"/>
              </w:rPr>
            </w:pPr>
            <w:r>
              <w:rPr>
                <w:rFonts w:ascii="Times New Roman"/>
                <w:sz w:val="18"/>
                <w:szCs w:val="18"/>
              </w:rPr>
              <w:t>不允许</w:t>
            </w:r>
          </w:p>
          <w:p>
            <w:pPr>
              <w:pStyle w:val="232"/>
              <w:ind w:firstLine="0" w:firstLineChars="0"/>
              <w:rPr>
                <w:rFonts w:ascii="Times New Roman"/>
                <w:sz w:val="18"/>
                <w:szCs w:val="18"/>
              </w:rPr>
            </w:pPr>
            <w:r>
              <w:rPr>
                <w:rFonts w:ascii="Times New Roman"/>
                <w:sz w:val="18"/>
                <w:szCs w:val="18"/>
              </w:rPr>
              <w:t>不允许</w:t>
            </w:r>
          </w:p>
        </w:tc>
      </w:tr>
      <w:bookmarkEnd w:id="80"/>
      <w:bookmarkEnd w:id="81"/>
      <w:bookmarkEnd w:id="82"/>
      <w:bookmarkEnd w:id="83"/>
      <w:bookmarkEnd w:id="84"/>
      <w:bookmarkEnd w:id="85"/>
    </w:tbl>
    <w:p>
      <w:pPr>
        <w:pStyle w:val="234"/>
        <w:numPr>
          <w:ilvl w:val="0"/>
          <w:numId w:val="33"/>
        </w:numPr>
        <w:spacing w:before="312" w:after="312"/>
        <w:outlineLvl w:val="1"/>
      </w:pPr>
      <w:bookmarkStart w:id="87" w:name="_Toc277778724"/>
      <w:bookmarkEnd w:id="87"/>
      <w:bookmarkStart w:id="88" w:name="_Toc277778723"/>
      <w:bookmarkEnd w:id="88"/>
      <w:bookmarkStart w:id="89" w:name="_Toc427680412"/>
      <w:bookmarkStart w:id="90" w:name="_Toc427675792"/>
      <w:bookmarkStart w:id="91" w:name="_Toc427680331"/>
      <w:bookmarkStart w:id="92" w:name="_Toc427677766"/>
      <w:r>
        <w:rPr>
          <w:rFonts w:hint="eastAsia"/>
        </w:rPr>
        <w:t>入库与预冷</w:t>
      </w:r>
    </w:p>
    <w:bookmarkEnd w:id="89"/>
    <w:bookmarkEnd w:id="90"/>
    <w:bookmarkEnd w:id="91"/>
    <w:bookmarkEnd w:id="92"/>
    <w:p>
      <w:pPr>
        <w:pStyle w:val="233"/>
        <w:numPr>
          <w:ilvl w:val="1"/>
          <w:numId w:val="33"/>
        </w:numPr>
        <w:jc w:val="left"/>
        <w:outlineLvl w:val="2"/>
      </w:pPr>
      <w:r>
        <w:rPr>
          <w:rFonts w:hAnsi="宋体" w:eastAsia="宋体" w:cs="Times New Roman"/>
          <w:szCs w:val="20"/>
        </w:rPr>
        <w:t>玉露香梨采收当天应及时入库预冷，根据入库果实容量设定预冷温度。预冷应在24 h内完成，果温达到贮藏温度完成预冷</w:t>
      </w:r>
      <w:r>
        <w:rPr>
          <w:rFonts w:hint="eastAsia" w:hAnsi="宋体" w:eastAsia="宋体" w:cs="Times New Roman"/>
          <w:szCs w:val="20"/>
        </w:rPr>
        <w:t>。</w:t>
      </w:r>
    </w:p>
    <w:p>
      <w:pPr>
        <w:pStyle w:val="233"/>
        <w:numPr>
          <w:ilvl w:val="1"/>
          <w:numId w:val="33"/>
        </w:numPr>
        <w:jc w:val="left"/>
        <w:outlineLvl w:val="2"/>
      </w:pPr>
      <w:r>
        <w:rPr>
          <w:rFonts w:hint="eastAsia" w:hAnsi="宋体" w:eastAsia="宋体" w:cs="Times New Roman"/>
          <w:szCs w:val="20"/>
        </w:rPr>
        <w:t>入</w:t>
      </w:r>
      <w:r>
        <w:rPr>
          <w:rFonts w:hAnsi="宋体" w:eastAsia="宋体" w:cs="Times New Roman"/>
          <w:szCs w:val="20"/>
        </w:rPr>
        <w:t>库速度根据冷库制冷能力或库温变化来调整</w:t>
      </w:r>
      <w:r>
        <w:rPr>
          <w:rFonts w:hint="eastAsia" w:hAnsi="宋体" w:eastAsia="宋体" w:cs="Times New Roman"/>
          <w:szCs w:val="20"/>
        </w:rPr>
        <w:t>，</w:t>
      </w:r>
      <w:r>
        <w:rPr>
          <w:rFonts w:hAnsi="宋体" w:eastAsia="宋体" w:cs="Times New Roman"/>
          <w:szCs w:val="20"/>
        </w:rPr>
        <w:t>原则上应先在预冷间预冷后再进入贮藏间</w:t>
      </w:r>
      <w:r>
        <w:rPr>
          <w:rFonts w:hint="eastAsia" w:hAnsi="宋体" w:eastAsia="宋体" w:cs="Times New Roman"/>
          <w:szCs w:val="20"/>
        </w:rPr>
        <w:t>，</w:t>
      </w:r>
      <w:r>
        <w:rPr>
          <w:rFonts w:hAnsi="宋体" w:eastAsia="宋体" w:cs="Times New Roman"/>
          <w:szCs w:val="20"/>
        </w:rPr>
        <w:t>不预冷</w:t>
      </w:r>
      <w:r>
        <w:rPr>
          <w:rFonts w:hint="eastAsia" w:hAnsi="宋体" w:eastAsia="宋体" w:cs="Times New Roman"/>
          <w:szCs w:val="20"/>
        </w:rPr>
        <w:t>，</w:t>
      </w:r>
      <w:r>
        <w:rPr>
          <w:rFonts w:hAnsi="宋体" w:eastAsia="宋体" w:cs="Times New Roman"/>
          <w:szCs w:val="20"/>
        </w:rPr>
        <w:t>则应分次分批入库</w:t>
      </w:r>
      <w:r>
        <w:rPr>
          <w:rFonts w:hint="eastAsia" w:hAnsi="宋体" w:eastAsia="宋体" w:cs="Times New Roman"/>
          <w:szCs w:val="20"/>
        </w:rPr>
        <w:t>，</w:t>
      </w:r>
      <w:r>
        <w:rPr>
          <w:rFonts w:hAnsi="宋体" w:eastAsia="宋体" w:cs="Times New Roman"/>
          <w:szCs w:val="20"/>
        </w:rPr>
        <w:t>每批次一般小于20%库容量。</w:t>
      </w:r>
    </w:p>
    <w:p>
      <w:pPr>
        <w:pStyle w:val="234"/>
        <w:numPr>
          <w:ilvl w:val="0"/>
          <w:numId w:val="33"/>
        </w:numPr>
        <w:spacing w:before="312" w:after="312"/>
        <w:outlineLvl w:val="1"/>
      </w:pPr>
      <w:bookmarkStart w:id="93" w:name="_Toc277778727"/>
      <w:bookmarkEnd w:id="93"/>
      <w:bookmarkStart w:id="94" w:name="_Toc277778728"/>
      <w:bookmarkEnd w:id="94"/>
      <w:bookmarkStart w:id="95" w:name="_Toc267659263"/>
      <w:bookmarkEnd w:id="95"/>
      <w:bookmarkStart w:id="96" w:name="_Toc427680454"/>
      <w:bookmarkStart w:id="97" w:name="_Toc427680341"/>
      <w:bookmarkStart w:id="98" w:name="_Toc430336597"/>
      <w:bookmarkStart w:id="99" w:name="_Toc427675802"/>
      <w:bookmarkStart w:id="100" w:name="_Toc156037829"/>
      <w:bookmarkStart w:id="101" w:name="_Toc427680422"/>
      <w:bookmarkStart w:id="102" w:name="_Toc427677776"/>
      <w:r>
        <w:rPr>
          <w:rFonts w:hint="eastAsia"/>
        </w:rPr>
        <w:t>码垛</w:t>
      </w:r>
      <w:bookmarkEnd w:id="96"/>
      <w:bookmarkEnd w:id="97"/>
      <w:bookmarkEnd w:id="98"/>
      <w:bookmarkEnd w:id="99"/>
      <w:bookmarkEnd w:id="100"/>
      <w:bookmarkEnd w:id="101"/>
      <w:bookmarkEnd w:id="102"/>
    </w:p>
    <w:p>
      <w:pPr>
        <w:pStyle w:val="232"/>
        <w:rPr>
          <w:rFonts w:ascii="Times New Roman"/>
        </w:rPr>
      </w:pPr>
      <w:bookmarkStart w:id="103" w:name="_Toc277778729"/>
      <w:bookmarkEnd w:id="103"/>
      <w:bookmarkStart w:id="104" w:name="_Toc427680423"/>
      <w:bookmarkStart w:id="105" w:name="_Toc427680342"/>
      <w:bookmarkStart w:id="106" w:name="_Toc427677777"/>
      <w:bookmarkStart w:id="107" w:name="_Toc427675803"/>
      <w:bookmarkStart w:id="108" w:name="_Toc277778815"/>
      <w:r>
        <w:rPr>
          <w:rFonts w:ascii="Times New Roman"/>
        </w:rPr>
        <w:t>入库时按采期、等级分开码垛，垛底垫木（石）高度0.10 m～0.15 m，果箱码垛注意层排整齐稳固，货垛排列方式、走向及垛间隙应与库内冷风机出风方向一致。</w:t>
      </w:r>
      <w:bookmarkEnd w:id="104"/>
      <w:bookmarkEnd w:id="105"/>
      <w:bookmarkEnd w:id="106"/>
      <w:bookmarkEnd w:id="107"/>
      <w:bookmarkEnd w:id="108"/>
      <w:bookmarkStart w:id="109" w:name="_Toc277778732"/>
      <w:bookmarkEnd w:id="109"/>
      <w:bookmarkStart w:id="110" w:name="_Toc427680424"/>
      <w:bookmarkStart w:id="111" w:name="_Toc427677778"/>
      <w:bookmarkStart w:id="112" w:name="_Toc427680343"/>
      <w:bookmarkStart w:id="113" w:name="_Toc427675804"/>
      <w:bookmarkStart w:id="114" w:name="_Toc277778818"/>
      <w:r>
        <w:rPr>
          <w:rFonts w:ascii="Times New Roman"/>
        </w:rPr>
        <w:t>库内堆码应距墙0.20 m～0.30 m；距冷风机不少于1.50 m；距顶0.50 m～0.60 m；垛间距离0.30 m～0.50 m；库内通道宽1.20 m～1.80 m。</w:t>
      </w:r>
      <w:bookmarkEnd w:id="110"/>
      <w:bookmarkEnd w:id="111"/>
      <w:bookmarkEnd w:id="112"/>
      <w:bookmarkEnd w:id="113"/>
      <w:bookmarkEnd w:id="114"/>
      <w:bookmarkStart w:id="115" w:name="_Toc427675805"/>
      <w:bookmarkStart w:id="116" w:name="_Toc427680425"/>
      <w:bookmarkStart w:id="117" w:name="_Toc427677779"/>
      <w:bookmarkStart w:id="118" w:name="_Toc427680344"/>
      <w:r>
        <w:rPr>
          <w:rFonts w:ascii="Times New Roman"/>
        </w:rPr>
        <w:t>堆码密度按库间容积计算，不应超过250 kg/m</w:t>
      </w:r>
      <w:r>
        <w:rPr>
          <w:rFonts w:ascii="Times New Roman"/>
          <w:szCs w:val="21"/>
          <w:vertAlign w:val="superscript"/>
        </w:rPr>
        <w:t>3</w:t>
      </w:r>
      <w:r>
        <w:rPr>
          <w:rFonts w:ascii="Times New Roman"/>
        </w:rPr>
        <w:t>。</w:t>
      </w:r>
      <w:bookmarkEnd w:id="115"/>
      <w:bookmarkEnd w:id="116"/>
      <w:bookmarkEnd w:id="117"/>
      <w:bookmarkEnd w:id="118"/>
      <w:bookmarkStart w:id="119" w:name="_Toc427680426"/>
      <w:bookmarkStart w:id="120" w:name="_Toc427680345"/>
      <w:bookmarkStart w:id="121" w:name="_Toc427677780"/>
      <w:bookmarkStart w:id="122" w:name="_Toc427675806"/>
      <w:r>
        <w:rPr>
          <w:rFonts w:ascii="Times New Roman"/>
        </w:rPr>
        <w:t>入满库后应及时填写货位标签和平面货位图。</w:t>
      </w:r>
      <w:bookmarkEnd w:id="119"/>
      <w:bookmarkEnd w:id="120"/>
      <w:bookmarkEnd w:id="121"/>
      <w:bookmarkEnd w:id="122"/>
    </w:p>
    <w:p>
      <w:pPr>
        <w:pStyle w:val="234"/>
        <w:numPr>
          <w:ilvl w:val="0"/>
          <w:numId w:val="33"/>
        </w:numPr>
        <w:spacing w:before="312" w:after="312"/>
        <w:outlineLvl w:val="1"/>
      </w:pPr>
      <w:bookmarkStart w:id="123" w:name="_Toc267659265"/>
      <w:bookmarkEnd w:id="123"/>
      <w:bookmarkStart w:id="124" w:name="_Toc277778736"/>
      <w:bookmarkEnd w:id="124"/>
      <w:bookmarkStart w:id="125" w:name="_Toc427680346"/>
      <w:bookmarkStart w:id="126" w:name="_Toc427680427"/>
      <w:bookmarkStart w:id="127" w:name="_Toc427677781"/>
      <w:bookmarkStart w:id="128" w:name="_Toc427675807"/>
      <w:bookmarkStart w:id="129" w:name="_Toc277778822"/>
      <w:bookmarkStart w:id="130" w:name="_Toc156037830"/>
      <w:bookmarkStart w:id="131" w:name="_Toc427680455"/>
      <w:bookmarkStart w:id="132" w:name="_Toc430336598"/>
      <w:r>
        <w:rPr>
          <w:rFonts w:hint="eastAsia"/>
        </w:rPr>
        <w:t>贮藏要求</w:t>
      </w:r>
      <w:bookmarkEnd w:id="125"/>
      <w:bookmarkEnd w:id="126"/>
      <w:bookmarkEnd w:id="127"/>
      <w:bookmarkEnd w:id="128"/>
      <w:bookmarkEnd w:id="129"/>
      <w:bookmarkEnd w:id="130"/>
      <w:bookmarkEnd w:id="131"/>
      <w:bookmarkEnd w:id="132"/>
    </w:p>
    <w:p>
      <w:pPr>
        <w:pStyle w:val="233"/>
        <w:numPr>
          <w:ilvl w:val="1"/>
          <w:numId w:val="33"/>
        </w:numPr>
        <w:jc w:val="left"/>
        <w:outlineLvl w:val="2"/>
      </w:pPr>
      <w:bookmarkStart w:id="133" w:name="_Toc277778737"/>
      <w:bookmarkEnd w:id="133"/>
      <w:bookmarkStart w:id="134" w:name="_Toc267659266"/>
      <w:bookmarkEnd w:id="134"/>
      <w:bookmarkStart w:id="135" w:name="_Toc277778823"/>
      <w:bookmarkStart w:id="136" w:name="_Toc427680347"/>
      <w:bookmarkStart w:id="137" w:name="_Toc427677782"/>
      <w:bookmarkStart w:id="138" w:name="_Toc427675808"/>
      <w:bookmarkStart w:id="139" w:name="_Toc427680428"/>
      <w:r>
        <w:rPr>
          <w:rFonts w:hint="eastAsia"/>
        </w:rPr>
        <w:t>冷藏库贮藏</w:t>
      </w:r>
    </w:p>
    <w:bookmarkEnd w:id="135"/>
    <w:bookmarkEnd w:id="136"/>
    <w:bookmarkEnd w:id="137"/>
    <w:bookmarkEnd w:id="138"/>
    <w:bookmarkEnd w:id="139"/>
    <w:p>
      <w:pPr>
        <w:pStyle w:val="235"/>
        <w:widowControl/>
        <w:numPr>
          <w:ilvl w:val="2"/>
          <w:numId w:val="33"/>
        </w:numPr>
        <w:spacing w:before="156" w:after="156"/>
        <w:jc w:val="left"/>
        <w:outlineLvl w:val="3"/>
      </w:pPr>
      <w:bookmarkStart w:id="140" w:name="_Toc277778738"/>
      <w:bookmarkEnd w:id="140"/>
      <w:bookmarkStart w:id="141" w:name="_Toc427677783"/>
      <w:r>
        <w:rPr>
          <w:rFonts w:hint="eastAsia"/>
        </w:rPr>
        <w:t>温度控制</w:t>
      </w:r>
    </w:p>
    <w:p>
      <w:pPr>
        <w:pStyle w:val="235"/>
        <w:widowControl/>
        <w:numPr>
          <w:ilvl w:val="0"/>
          <w:numId w:val="0"/>
        </w:numPr>
        <w:spacing w:before="156" w:after="156"/>
        <w:jc w:val="left"/>
        <w:outlineLvl w:val="3"/>
      </w:pPr>
      <w:r>
        <w:rPr>
          <w:rFonts w:hint="eastAsia" w:ascii="黑体" w:hAnsi="黑体"/>
        </w:rPr>
        <w:t>8</w:t>
      </w:r>
      <w:r>
        <w:rPr>
          <w:rFonts w:ascii="黑体" w:hAnsi="黑体"/>
        </w:rPr>
        <w:t>.1.1.1</w:t>
      </w:r>
      <w:r>
        <w:rPr>
          <w:rFonts w:hint="eastAsia" w:ascii="黑体" w:hAnsi="黑体"/>
          <w:lang w:val="en-US" w:eastAsia="zh-CN"/>
        </w:rPr>
        <w:t xml:space="preserve">  </w:t>
      </w:r>
      <w:r>
        <w:rPr>
          <w:rFonts w:hint="eastAsia"/>
        </w:rPr>
        <w:t>测温计的选择及放置</w:t>
      </w:r>
    </w:p>
    <w:p>
      <w:pPr>
        <w:pStyle w:val="232"/>
        <w:rPr>
          <w:rFonts w:ascii="Times New Roman"/>
        </w:rPr>
      </w:pPr>
      <w:bookmarkStart w:id="142" w:name="_Toc427677785"/>
      <w:r>
        <w:rPr>
          <w:rFonts w:ascii="Times New Roman"/>
        </w:rPr>
        <w:t>测温仪器应使用分辨率</w:t>
      </w:r>
      <w:r>
        <w:rPr>
          <w:rFonts w:ascii="Times New Roman" w:hAnsi="Times New Roman"/>
        </w:rPr>
        <w:t>≤0.1 ℃、误差≤±0.3 ℃的水银温度计或电子数显温度计，测定仪器要用标准温度计或纯净水的冰水混合物（0 ℃</w:t>
      </w:r>
      <w:r>
        <w:rPr>
          <w:rFonts w:ascii="Times New Roman"/>
        </w:rPr>
        <w:t>）定期校验。</w:t>
      </w:r>
      <w:bookmarkEnd w:id="142"/>
    </w:p>
    <w:p>
      <w:pPr>
        <w:pStyle w:val="232"/>
        <w:rPr>
          <w:rFonts w:ascii="Times New Roman"/>
          <w:color w:val="FF0000"/>
        </w:rPr>
      </w:pPr>
      <w:r>
        <w:rPr>
          <w:rFonts w:hint="eastAsia" w:ascii="Tw Cen MT" w:hAnsi="Tw Cen MT"/>
        </w:rPr>
        <w:t>测温计的放置参照</w:t>
      </w:r>
      <w:r>
        <w:rPr>
          <w:rFonts w:ascii="Times New Roman" w:hAnsi="Times New Roman"/>
        </w:rPr>
        <w:t>GB/T 8559的</w:t>
      </w:r>
      <w:r>
        <w:rPr>
          <w:rFonts w:hint="eastAsia" w:ascii="Tw Cen MT" w:hAnsi="Tw Cen MT"/>
        </w:rPr>
        <w:t>规定，</w:t>
      </w:r>
      <w:r>
        <w:rPr>
          <w:rFonts w:ascii="Tw Cen MT" w:hAnsi="Tw Cen MT"/>
        </w:rPr>
        <w:t>温</w:t>
      </w:r>
      <w:r>
        <w:rPr>
          <w:rFonts w:ascii="Times New Roman" w:hAnsi="Times New Roman"/>
        </w:rPr>
        <w:t>度计应放置在不受强气流、辐射、震动和冲击影响的地方，测温点的位置应具有代表性。每100 t布置</w:t>
      </w:r>
      <w:r>
        <w:rPr>
          <w:rFonts w:hint="eastAsia" w:ascii="Times New Roman" w:hAnsi="Times New Roman"/>
        </w:rPr>
        <w:t>6</w:t>
      </w:r>
      <w:r>
        <w:rPr>
          <w:rFonts w:ascii="Times New Roman" w:hAnsi="Times New Roman"/>
        </w:rPr>
        <w:t>～9</w:t>
      </w:r>
      <w:r>
        <w:rPr>
          <w:rFonts w:ascii="Times New Roman"/>
        </w:rPr>
        <w:t>个测温点，既有测果体温度的点，又有测空气温度的点。</w:t>
      </w:r>
    </w:p>
    <w:p>
      <w:pPr>
        <w:pStyle w:val="235"/>
        <w:widowControl/>
        <w:numPr>
          <w:ilvl w:val="0"/>
          <w:numId w:val="0"/>
        </w:numPr>
        <w:spacing w:before="156" w:after="156"/>
        <w:jc w:val="left"/>
        <w:outlineLvl w:val="3"/>
      </w:pPr>
      <w:bookmarkStart w:id="143" w:name="_Toc277778740"/>
      <w:bookmarkEnd w:id="143"/>
      <w:r>
        <w:rPr>
          <w:rFonts w:hint="eastAsia" w:ascii="黑体" w:hAnsi="黑体"/>
        </w:rPr>
        <w:t>8</w:t>
      </w:r>
      <w:r>
        <w:rPr>
          <w:rFonts w:ascii="黑体" w:hAnsi="黑体"/>
        </w:rPr>
        <w:t xml:space="preserve">.1.1.2  </w:t>
      </w:r>
      <w:r>
        <w:rPr>
          <w:rFonts w:hint="eastAsia"/>
        </w:rPr>
        <w:t>贮藏温度</w:t>
      </w:r>
    </w:p>
    <w:p>
      <w:pPr>
        <w:ind w:firstLine="420" w:firstLineChars="200"/>
        <w:rPr>
          <w:rFonts w:ascii="Times New Roman" w:hAnsi="Times New Roman"/>
        </w:rPr>
      </w:pPr>
      <w:r>
        <w:t>适宜贮藏温度</w:t>
      </w:r>
      <w:r>
        <w:rPr>
          <w:rFonts w:ascii="Times New Roman" w:hAnsi="Times New Roman"/>
        </w:rPr>
        <w:t>为-1 ℃～2 ℃，其中短期贮为0 ℃～2 ℃，中、长期贮藏为-1 ℃～0 ℃</w:t>
      </w:r>
      <w:bookmarkEnd w:id="141"/>
      <w:bookmarkStart w:id="144" w:name="_Toc277778739"/>
      <w:bookmarkEnd w:id="144"/>
      <w:bookmarkStart w:id="145" w:name="_Toc427677784"/>
      <w:r>
        <w:rPr>
          <w:rFonts w:ascii="Times New Roman" w:hAnsi="Times New Roman"/>
        </w:rPr>
        <w:t>，库温波动＜±1 ℃。库房和包装箱内果实温度以不同测温点的平均值来表示，误差≤±0.5 ℃。</w:t>
      </w:r>
      <w:bookmarkEnd w:id="145"/>
    </w:p>
    <w:p>
      <w:pPr>
        <w:pStyle w:val="235"/>
        <w:widowControl/>
        <w:numPr>
          <w:ilvl w:val="2"/>
          <w:numId w:val="33"/>
        </w:numPr>
        <w:spacing w:before="156" w:after="156"/>
        <w:jc w:val="left"/>
        <w:outlineLvl w:val="3"/>
      </w:pPr>
      <w:bookmarkStart w:id="146" w:name="_Toc277778741"/>
      <w:bookmarkEnd w:id="146"/>
      <w:bookmarkStart w:id="147" w:name="_Toc267659267"/>
      <w:bookmarkEnd w:id="147"/>
      <w:bookmarkStart w:id="148" w:name="_Toc277778824"/>
      <w:bookmarkStart w:id="149" w:name="_Toc427675809"/>
      <w:bookmarkStart w:id="150" w:name="_Toc427677786"/>
      <w:bookmarkStart w:id="151" w:name="_Toc427680348"/>
      <w:bookmarkStart w:id="152" w:name="_Toc427680429"/>
      <w:r>
        <w:rPr>
          <w:rFonts w:hint="eastAsia"/>
        </w:rPr>
        <w:t>相对湿度</w:t>
      </w:r>
      <w:bookmarkEnd w:id="148"/>
      <w:bookmarkEnd w:id="149"/>
      <w:bookmarkEnd w:id="150"/>
      <w:bookmarkEnd w:id="151"/>
      <w:bookmarkEnd w:id="152"/>
      <w:r>
        <w:rPr>
          <w:rFonts w:hint="eastAsia"/>
        </w:rPr>
        <w:t>控制</w:t>
      </w:r>
    </w:p>
    <w:p>
      <w:pPr>
        <w:pStyle w:val="232"/>
        <w:rPr>
          <w:rFonts w:ascii="Times New Roman"/>
        </w:rPr>
      </w:pPr>
      <w:bookmarkStart w:id="153" w:name="_Toc277778742"/>
      <w:bookmarkEnd w:id="153"/>
      <w:r>
        <w:rPr>
          <w:rFonts w:ascii="Times New Roman"/>
        </w:rPr>
        <w:t>库内相对湿度应保持在</w:t>
      </w:r>
      <w:r>
        <w:rPr>
          <w:rFonts w:ascii="Times New Roman" w:hAnsi="Times New Roman"/>
        </w:rPr>
        <w:t>90%～95%</w:t>
      </w:r>
      <w:r>
        <w:rPr>
          <w:rFonts w:ascii="Times New Roman"/>
        </w:rPr>
        <w:t>。</w:t>
      </w:r>
      <w:bookmarkStart w:id="154" w:name="_Toc277778743"/>
      <w:bookmarkEnd w:id="154"/>
      <w:r>
        <w:rPr>
          <w:rFonts w:ascii="Times New Roman"/>
        </w:rPr>
        <w:t>相对湿度测量仪器误差应</w:t>
      </w:r>
      <w:r>
        <w:rPr>
          <w:rFonts w:ascii="Times New Roman" w:hAnsi="Times New Roman"/>
        </w:rPr>
        <w:t>≤5%</w:t>
      </w:r>
      <w:r>
        <w:rPr>
          <w:rFonts w:ascii="Times New Roman"/>
        </w:rPr>
        <w:t>，测点的选择与测温点一致。</w:t>
      </w:r>
    </w:p>
    <w:p>
      <w:pPr>
        <w:pStyle w:val="235"/>
        <w:widowControl/>
        <w:numPr>
          <w:ilvl w:val="2"/>
          <w:numId w:val="33"/>
        </w:numPr>
        <w:spacing w:before="156" w:after="156"/>
        <w:jc w:val="left"/>
        <w:outlineLvl w:val="3"/>
      </w:pPr>
      <w:bookmarkStart w:id="155" w:name="_Toc277778746"/>
      <w:bookmarkEnd w:id="155"/>
      <w:bookmarkStart w:id="156" w:name="_Toc267659269"/>
      <w:bookmarkEnd w:id="156"/>
      <w:bookmarkStart w:id="157" w:name="_Toc427677787"/>
      <w:bookmarkStart w:id="158" w:name="_Toc277778826"/>
      <w:bookmarkStart w:id="159" w:name="_Toc427680349"/>
      <w:bookmarkStart w:id="160" w:name="_Toc427680430"/>
      <w:bookmarkStart w:id="161" w:name="_Toc427675810"/>
      <w:r>
        <w:rPr>
          <w:rFonts w:hint="eastAsia"/>
        </w:rPr>
        <w:t>通风管理</w:t>
      </w:r>
      <w:bookmarkEnd w:id="157"/>
      <w:bookmarkEnd w:id="158"/>
      <w:bookmarkEnd w:id="159"/>
      <w:bookmarkEnd w:id="160"/>
      <w:bookmarkEnd w:id="161"/>
    </w:p>
    <w:p>
      <w:pPr>
        <w:pStyle w:val="232"/>
        <w:rPr>
          <w:rFonts w:ascii="Times New Roman"/>
        </w:rPr>
      </w:pPr>
      <w:r>
        <w:rPr>
          <w:rFonts w:hint="eastAsia" w:ascii="Times New Roman"/>
        </w:rPr>
        <w:t>梨冷藏期间，应通风换气，排除过多的二氧化碳和乙烯等有害气体。</w:t>
      </w:r>
      <w:r>
        <w:rPr>
          <w:rFonts w:ascii="Times New Roman"/>
        </w:rPr>
        <w:t>在库门相对方向一侧安装换气扇。入贮初期，</w:t>
      </w:r>
      <w:r>
        <w:rPr>
          <w:rFonts w:hint="eastAsia" w:ascii="Times New Roman"/>
        </w:rPr>
        <w:t>在</w:t>
      </w:r>
      <w:r>
        <w:rPr>
          <w:rFonts w:ascii="Times New Roman"/>
        </w:rPr>
        <w:t>清晨气温最低时进行通风，2</w:t>
      </w:r>
      <w:r>
        <w:rPr>
          <w:rFonts w:hint="eastAsia" w:ascii="Times New Roman"/>
          <w:lang w:val="en-US" w:eastAsia="zh-CN"/>
        </w:rPr>
        <w:t xml:space="preserve"> d</w:t>
      </w:r>
      <w:r>
        <w:rPr>
          <w:rFonts w:ascii="Times New Roman"/>
        </w:rPr>
        <w:t>～3 d通风</w:t>
      </w:r>
      <w:r>
        <w:rPr>
          <w:rFonts w:hint="eastAsia" w:ascii="Times New Roman"/>
        </w:rPr>
        <w:t>1</w:t>
      </w:r>
      <w:r>
        <w:rPr>
          <w:rFonts w:ascii="Times New Roman"/>
        </w:rPr>
        <w:t>次，根据库房大小确定通风时间，</w:t>
      </w:r>
      <w:r>
        <w:rPr>
          <w:rFonts w:hint="eastAsia" w:ascii="Times New Roman"/>
        </w:rPr>
        <w:t>时间</w:t>
      </w:r>
      <w:r>
        <w:rPr>
          <w:rFonts w:ascii="Times New Roman"/>
        </w:rPr>
        <w:t>在10 min～30 min，库温稳定后，</w:t>
      </w:r>
      <w:r>
        <w:rPr>
          <w:rFonts w:hint="eastAsia" w:ascii="Times New Roman"/>
        </w:rPr>
        <w:t>可延长通风间隔时间</w:t>
      </w:r>
      <w:r>
        <w:rPr>
          <w:rFonts w:ascii="Times New Roman"/>
        </w:rPr>
        <w:t>。</w:t>
      </w:r>
      <w:r>
        <w:rPr>
          <w:rFonts w:hint="eastAsia" w:ascii="Times New Roman"/>
        </w:rPr>
        <w:t>贮藏环境乙烯浓度应控制在</w:t>
      </w:r>
      <w:r>
        <w:rPr>
          <w:rFonts w:hint="eastAsia" w:ascii="Times New Roman"/>
          <w:lang w:val="en-US" w:eastAsia="zh-CN"/>
        </w:rPr>
        <w:t>10 ppm</w:t>
      </w:r>
      <w:r>
        <w:rPr>
          <w:rFonts w:hint="eastAsia" w:ascii="Times New Roman"/>
        </w:rPr>
        <w:t>以下。</w:t>
      </w:r>
    </w:p>
    <w:p>
      <w:pPr>
        <w:pStyle w:val="233"/>
        <w:numPr>
          <w:ilvl w:val="1"/>
          <w:numId w:val="33"/>
        </w:numPr>
        <w:jc w:val="left"/>
        <w:outlineLvl w:val="2"/>
      </w:pPr>
      <w:bookmarkStart w:id="162" w:name="_Toc267659271"/>
      <w:bookmarkEnd w:id="162"/>
      <w:bookmarkStart w:id="163" w:name="_Toc277778748"/>
      <w:bookmarkEnd w:id="163"/>
      <w:bookmarkStart w:id="164" w:name="_Toc427677788"/>
      <w:bookmarkStart w:id="165" w:name="_Toc427675811"/>
      <w:bookmarkStart w:id="166" w:name="_Toc430336599"/>
      <w:bookmarkStart w:id="167" w:name="_Toc427680350"/>
      <w:bookmarkStart w:id="168" w:name="_Toc277778828"/>
      <w:bookmarkStart w:id="169" w:name="_Toc156037831"/>
      <w:bookmarkStart w:id="170" w:name="_Toc427680431"/>
      <w:bookmarkStart w:id="171" w:name="_Toc427680456"/>
      <w:r>
        <w:rPr>
          <w:rFonts w:hint="eastAsia"/>
        </w:rPr>
        <w:t>气调库贮藏</w:t>
      </w:r>
      <w:bookmarkEnd w:id="164"/>
      <w:bookmarkEnd w:id="165"/>
      <w:bookmarkEnd w:id="166"/>
      <w:bookmarkEnd w:id="167"/>
      <w:bookmarkEnd w:id="168"/>
      <w:bookmarkEnd w:id="169"/>
      <w:bookmarkEnd w:id="170"/>
      <w:bookmarkEnd w:id="171"/>
    </w:p>
    <w:p>
      <w:pPr>
        <w:pStyle w:val="235"/>
        <w:widowControl/>
        <w:numPr>
          <w:ilvl w:val="2"/>
          <w:numId w:val="33"/>
        </w:numPr>
        <w:spacing w:before="156" w:after="156"/>
        <w:jc w:val="left"/>
        <w:outlineLvl w:val="3"/>
      </w:pPr>
      <w:bookmarkStart w:id="172" w:name="_Toc277778750"/>
      <w:bookmarkEnd w:id="172"/>
      <w:bookmarkStart w:id="173" w:name="_Toc267659272"/>
      <w:bookmarkEnd w:id="173"/>
      <w:bookmarkStart w:id="174" w:name="_Toc277778749"/>
      <w:bookmarkEnd w:id="174"/>
      <w:bookmarkStart w:id="175" w:name="_Toc267659273"/>
      <w:bookmarkEnd w:id="175"/>
      <w:bookmarkStart w:id="176" w:name="_Toc427680433"/>
      <w:bookmarkStart w:id="177" w:name="_Toc427675813"/>
      <w:bookmarkStart w:id="178" w:name="_Toc277778830"/>
      <w:bookmarkStart w:id="179" w:name="_Toc427680352"/>
      <w:bookmarkStart w:id="180" w:name="_Toc427677790"/>
      <w:r>
        <w:rPr>
          <w:rFonts w:hint="eastAsia"/>
        </w:rPr>
        <w:t>贮藏条件</w:t>
      </w:r>
      <w:bookmarkEnd w:id="176"/>
      <w:bookmarkEnd w:id="177"/>
      <w:bookmarkEnd w:id="178"/>
      <w:bookmarkEnd w:id="179"/>
      <w:bookmarkEnd w:id="180"/>
    </w:p>
    <w:p>
      <w:pPr>
        <w:pStyle w:val="235"/>
        <w:widowControl/>
        <w:numPr>
          <w:ilvl w:val="0"/>
          <w:numId w:val="0"/>
        </w:numPr>
        <w:spacing w:before="156" w:after="156"/>
        <w:jc w:val="left"/>
        <w:outlineLvl w:val="3"/>
      </w:pPr>
      <w:bookmarkStart w:id="181" w:name="_Toc277778751"/>
      <w:bookmarkEnd w:id="181"/>
      <w:bookmarkStart w:id="182" w:name="_Toc427677791"/>
      <w:r>
        <w:rPr>
          <w:rFonts w:hint="eastAsia" w:ascii="黑体" w:hAnsi="黑体"/>
        </w:rPr>
        <w:t>8</w:t>
      </w:r>
      <w:r>
        <w:rPr>
          <w:rFonts w:ascii="黑体" w:hAnsi="黑体"/>
        </w:rPr>
        <w:t>.2.1.1</w:t>
      </w:r>
      <w:r>
        <w:rPr>
          <w:rFonts w:hint="eastAsia" w:ascii="黑体" w:hAnsi="黑体"/>
          <w:lang w:val="en-US" w:eastAsia="zh-CN"/>
        </w:rPr>
        <w:t xml:space="preserve">  </w:t>
      </w:r>
      <w:r>
        <w:rPr>
          <w:rFonts w:hint="eastAsia"/>
        </w:rPr>
        <w:t>温度</w:t>
      </w:r>
      <w:bookmarkEnd w:id="182"/>
    </w:p>
    <w:p>
      <w:pPr>
        <w:pStyle w:val="232"/>
        <w:rPr>
          <w:b/>
          <w:color w:val="00B0F0"/>
        </w:rPr>
      </w:pPr>
      <w:bookmarkStart w:id="183" w:name="_Toc277778752"/>
      <w:bookmarkEnd w:id="183"/>
      <w:r>
        <w:rPr>
          <w:rFonts w:ascii="Times New Roman"/>
          <w:color w:val="000000"/>
        </w:rPr>
        <w:t>气调贮藏温度为0</w:t>
      </w:r>
      <w:r>
        <w:rPr>
          <w:rFonts w:hint="eastAsia" w:ascii="Times New Roman"/>
          <w:color w:val="000000"/>
          <w:lang w:val="en-US" w:eastAsia="zh-CN"/>
        </w:rPr>
        <w:t xml:space="preserve"> </w:t>
      </w:r>
      <w:r>
        <w:rPr>
          <w:rFonts w:ascii="Times New Roman"/>
        </w:rPr>
        <w:t>℃±0.5</w:t>
      </w:r>
      <w:r>
        <w:rPr>
          <w:rFonts w:hint="eastAsia" w:ascii="Times New Roman"/>
          <w:lang w:val="en-US" w:eastAsia="zh-CN"/>
        </w:rPr>
        <w:t xml:space="preserve"> </w:t>
      </w:r>
      <w:r>
        <w:rPr>
          <w:rFonts w:ascii="Times New Roman"/>
        </w:rPr>
        <w:t>℃</w:t>
      </w:r>
      <w:r>
        <w:rPr>
          <w:rFonts w:hint="eastAsia"/>
          <w:color w:val="000000"/>
        </w:rPr>
        <w:t>。管理同冷藏库贮藏。</w:t>
      </w:r>
    </w:p>
    <w:p>
      <w:pPr>
        <w:pStyle w:val="235"/>
        <w:widowControl/>
        <w:numPr>
          <w:ilvl w:val="0"/>
          <w:numId w:val="0"/>
        </w:numPr>
        <w:spacing w:before="156" w:after="156"/>
        <w:jc w:val="left"/>
        <w:outlineLvl w:val="3"/>
      </w:pPr>
      <w:bookmarkStart w:id="184" w:name="_Toc277778753"/>
      <w:bookmarkEnd w:id="184"/>
      <w:bookmarkStart w:id="185" w:name="_Toc427677792"/>
      <w:r>
        <w:rPr>
          <w:rFonts w:hint="eastAsia" w:ascii="黑体" w:hAnsi="黑体"/>
        </w:rPr>
        <w:t>8</w:t>
      </w:r>
      <w:r>
        <w:rPr>
          <w:rFonts w:ascii="黑体" w:hAnsi="黑体"/>
        </w:rPr>
        <w:t xml:space="preserve">.2.1.2 </w:t>
      </w:r>
      <w:r>
        <w:rPr>
          <w:rFonts w:hint="eastAsia" w:ascii="黑体" w:hAnsi="黑体"/>
          <w:lang w:val="en-US" w:eastAsia="zh-CN"/>
        </w:rPr>
        <w:t xml:space="preserve"> </w:t>
      </w:r>
      <w:r>
        <w:rPr>
          <w:rFonts w:hint="eastAsia"/>
        </w:rPr>
        <w:t>相对湿度</w:t>
      </w:r>
      <w:bookmarkEnd w:id="185"/>
    </w:p>
    <w:p>
      <w:pPr>
        <w:widowControl/>
        <w:spacing w:line="240" w:lineRule="auto"/>
        <w:ind w:firstLine="420" w:firstLineChars="200"/>
        <w:jc w:val="left"/>
        <w:outlineLvl w:val="4"/>
        <w:rPr>
          <w:kern w:val="0"/>
        </w:rPr>
      </w:pPr>
      <w:bookmarkStart w:id="186" w:name="_Toc277778754"/>
      <w:bookmarkEnd w:id="186"/>
      <w:r>
        <w:rPr>
          <w:color w:val="000000"/>
          <w:kern w:val="0"/>
        </w:rPr>
        <w:t>库内相对湿度应保持</w:t>
      </w:r>
      <w:r>
        <w:rPr>
          <w:rFonts w:ascii="Times New Roman" w:hAnsi="Times New Roman"/>
          <w:color w:val="000000"/>
          <w:kern w:val="0"/>
        </w:rPr>
        <w:t>在</w:t>
      </w:r>
      <w:r>
        <w:rPr>
          <w:rFonts w:ascii="Times New Roman" w:hAnsi="Times New Roman"/>
          <w:kern w:val="0"/>
        </w:rPr>
        <w:t>90%～95%。相对湿度测量仪器误差应≤5%，测点的选择与测温点一致。</w:t>
      </w:r>
    </w:p>
    <w:p>
      <w:pPr>
        <w:pStyle w:val="235"/>
        <w:widowControl/>
        <w:numPr>
          <w:ilvl w:val="2"/>
          <w:numId w:val="33"/>
        </w:numPr>
        <w:spacing w:before="156" w:after="156"/>
        <w:jc w:val="left"/>
        <w:outlineLvl w:val="3"/>
      </w:pPr>
      <w:bookmarkStart w:id="187" w:name="_Toc277778755"/>
      <w:bookmarkEnd w:id="187"/>
      <w:r>
        <w:rPr>
          <w:rFonts w:hint="eastAsia"/>
        </w:rPr>
        <w:t>气体成分</w:t>
      </w:r>
    </w:p>
    <w:p>
      <w:pPr>
        <w:pStyle w:val="232"/>
        <w:rPr>
          <w:rFonts w:ascii="Times New Roman"/>
        </w:rPr>
      </w:pPr>
      <w:bookmarkStart w:id="188" w:name="_Toc277778756"/>
      <w:bookmarkEnd w:id="188"/>
      <w:r>
        <w:rPr>
          <w:rFonts w:hint="eastAsia"/>
        </w:rPr>
        <w:t>果实适宜气调冷藏氧气气</w:t>
      </w:r>
      <w:r>
        <w:t>体</w:t>
      </w:r>
      <w:r>
        <w:rPr>
          <w:rFonts w:ascii="Times New Roman"/>
        </w:rPr>
        <w:t>组分</w:t>
      </w:r>
      <w:r>
        <w:rPr>
          <w:rFonts w:ascii="Times New Roman" w:hAnsi="Times New Roman"/>
        </w:rPr>
        <w:t>为3%～5%、二氧化碳气体组分2%～3%。氧气、二氧化碳测定仪器分辨率应≤0.1%、误差应≤±0.3%。</w:t>
      </w:r>
    </w:p>
    <w:p>
      <w:pPr>
        <w:pStyle w:val="235"/>
        <w:widowControl/>
        <w:numPr>
          <w:ilvl w:val="2"/>
          <w:numId w:val="33"/>
        </w:numPr>
        <w:spacing w:before="156" w:after="156"/>
        <w:jc w:val="left"/>
        <w:outlineLvl w:val="3"/>
      </w:pPr>
      <w:bookmarkStart w:id="189" w:name="_Toc267659274"/>
      <w:bookmarkEnd w:id="189"/>
      <w:bookmarkStart w:id="190" w:name="_Toc277778759"/>
      <w:bookmarkEnd w:id="190"/>
      <w:bookmarkStart w:id="191" w:name="_Toc427675814"/>
      <w:bookmarkStart w:id="192" w:name="_Toc427680434"/>
      <w:bookmarkStart w:id="193" w:name="_Toc427680353"/>
      <w:bookmarkStart w:id="194" w:name="_Toc277778831"/>
      <w:bookmarkStart w:id="195" w:name="_Toc427677793"/>
      <w:r>
        <w:rPr>
          <w:rFonts w:hint="eastAsia"/>
        </w:rPr>
        <w:t>管理</w:t>
      </w:r>
      <w:bookmarkEnd w:id="191"/>
      <w:bookmarkEnd w:id="192"/>
      <w:bookmarkEnd w:id="193"/>
      <w:bookmarkEnd w:id="194"/>
      <w:bookmarkEnd w:id="195"/>
    </w:p>
    <w:p>
      <w:pPr>
        <w:pStyle w:val="232"/>
        <w:rPr>
          <w:b/>
          <w:color w:val="00B0F0"/>
        </w:rPr>
      </w:pPr>
      <w:bookmarkStart w:id="196" w:name="_Toc277778760"/>
      <w:bookmarkEnd w:id="196"/>
      <w:bookmarkStart w:id="197" w:name="_Toc427677794"/>
      <w:r>
        <w:rPr>
          <w:rFonts w:hint="eastAsia"/>
        </w:rPr>
        <w:t>果实温度应接近适宜贮藏温度，库温稳定后才能封库调气。</w:t>
      </w:r>
      <w:bookmarkEnd w:id="197"/>
      <w:bookmarkStart w:id="198" w:name="_Toc277778761"/>
      <w:bookmarkEnd w:id="198"/>
      <w:bookmarkStart w:id="199" w:name="_Toc427677795"/>
      <w:r>
        <w:rPr>
          <w:rFonts w:hint="eastAsia"/>
        </w:rPr>
        <w:t>库间温度、相对湿度、氧气和二氧化碳浓度指标应采用自动控制，自动控制系统应能自动记录和存储记录数据。</w:t>
      </w:r>
      <w:bookmarkEnd w:id="199"/>
      <w:bookmarkStart w:id="200" w:name="_Toc277778763"/>
      <w:bookmarkEnd w:id="200"/>
      <w:bookmarkStart w:id="201" w:name="_Toc277778762"/>
      <w:bookmarkEnd w:id="201"/>
    </w:p>
    <w:p>
      <w:pPr>
        <w:pStyle w:val="234"/>
        <w:numPr>
          <w:ilvl w:val="0"/>
          <w:numId w:val="33"/>
        </w:numPr>
        <w:spacing w:before="312" w:after="312"/>
        <w:outlineLvl w:val="1"/>
      </w:pPr>
      <w:bookmarkStart w:id="202" w:name="_Toc277778764"/>
      <w:bookmarkEnd w:id="202"/>
      <w:bookmarkStart w:id="203" w:name="_Toc267659275"/>
      <w:bookmarkEnd w:id="203"/>
      <w:bookmarkStart w:id="204" w:name="_Toc427675815"/>
      <w:bookmarkStart w:id="205" w:name="_Toc427680457"/>
      <w:bookmarkStart w:id="206" w:name="_Toc277778832"/>
      <w:bookmarkStart w:id="207" w:name="_Toc427680354"/>
      <w:bookmarkStart w:id="208" w:name="_Toc156037832"/>
      <w:bookmarkStart w:id="209" w:name="_Toc430336600"/>
      <w:bookmarkStart w:id="210" w:name="_Toc427677798"/>
      <w:bookmarkStart w:id="211" w:name="_Toc427680435"/>
      <w:r>
        <w:rPr>
          <w:rFonts w:hint="eastAsia"/>
        </w:rPr>
        <w:t>其它辅助保鲜措施</w:t>
      </w:r>
      <w:bookmarkEnd w:id="204"/>
      <w:bookmarkEnd w:id="205"/>
      <w:bookmarkEnd w:id="206"/>
      <w:bookmarkEnd w:id="207"/>
      <w:bookmarkEnd w:id="208"/>
      <w:bookmarkEnd w:id="209"/>
      <w:bookmarkEnd w:id="210"/>
      <w:bookmarkEnd w:id="211"/>
    </w:p>
    <w:p>
      <w:pPr>
        <w:pStyle w:val="233"/>
        <w:numPr>
          <w:ilvl w:val="1"/>
          <w:numId w:val="33"/>
        </w:numPr>
        <w:jc w:val="left"/>
        <w:outlineLvl w:val="2"/>
      </w:pPr>
      <w:bookmarkStart w:id="212" w:name="_Toc267659276"/>
      <w:bookmarkEnd w:id="212"/>
      <w:bookmarkStart w:id="213" w:name="_Toc277778765"/>
      <w:bookmarkEnd w:id="213"/>
      <w:bookmarkStart w:id="214" w:name="_Toc427677799"/>
      <w:bookmarkStart w:id="215" w:name="_Toc277778833"/>
      <w:bookmarkStart w:id="216" w:name="_Toc427680436"/>
      <w:bookmarkStart w:id="217" w:name="_Toc427675816"/>
      <w:bookmarkStart w:id="218" w:name="_Toc427680355"/>
      <w:r>
        <w:rPr>
          <w:rFonts w:hint="eastAsia"/>
        </w:rPr>
        <w:t>塑料薄膜袋自发气调贮藏</w:t>
      </w:r>
      <w:bookmarkEnd w:id="214"/>
      <w:bookmarkEnd w:id="215"/>
      <w:bookmarkEnd w:id="216"/>
      <w:bookmarkEnd w:id="217"/>
      <w:bookmarkEnd w:id="218"/>
    </w:p>
    <w:p>
      <w:pPr>
        <w:pStyle w:val="232"/>
        <w:rPr>
          <w:rFonts w:ascii="Times New Roman"/>
        </w:rPr>
      </w:pPr>
      <w:bookmarkStart w:id="219" w:name="_Toc277778769"/>
      <w:bookmarkEnd w:id="219"/>
      <w:r>
        <w:rPr>
          <w:rFonts w:ascii="Times New Roman"/>
        </w:rPr>
        <w:t>果实采后带袋或发泡网套包装直接装入内衬薄膜袋的纸箱或塑料周转箱，敞开袋口入库预冷，待果实温度降至0</w:t>
      </w:r>
      <w:r>
        <w:rPr>
          <w:rFonts w:hint="eastAsia" w:ascii="Times New Roman"/>
          <w:lang w:val="en-US" w:eastAsia="zh-CN"/>
        </w:rPr>
        <w:t xml:space="preserve"> </w:t>
      </w:r>
      <w:r>
        <w:rPr>
          <w:rFonts w:ascii="Times New Roman"/>
        </w:rPr>
        <w:t>℃后扎口，-1</w:t>
      </w:r>
      <w:r>
        <w:rPr>
          <w:rFonts w:hint="eastAsia" w:ascii="Times New Roman"/>
          <w:lang w:val="en-US" w:eastAsia="zh-CN"/>
        </w:rPr>
        <w:t xml:space="preserve"> </w:t>
      </w:r>
      <w:r>
        <w:rPr>
          <w:rFonts w:ascii="Times New Roman"/>
        </w:rPr>
        <w:t>℃～0</w:t>
      </w:r>
      <w:r>
        <w:rPr>
          <w:rFonts w:hint="eastAsia" w:ascii="Times New Roman"/>
          <w:lang w:val="en-US" w:eastAsia="zh-CN"/>
        </w:rPr>
        <w:t xml:space="preserve"> </w:t>
      </w:r>
      <w:r>
        <w:rPr>
          <w:rFonts w:ascii="Times New Roman"/>
        </w:rPr>
        <w:t xml:space="preserve">℃环境下贮藏。所用内衬薄膜袋厚度为0.02 mm～0.03 mm PE保鲜袋，每袋果实重量不宜超过10 </w:t>
      </w:r>
      <w:r>
        <w:rPr>
          <w:rFonts w:hint="eastAsia" w:ascii="Times New Roman"/>
          <w:lang w:val="en-US" w:eastAsia="zh-CN"/>
        </w:rPr>
        <w:t>k</w:t>
      </w:r>
      <w:r>
        <w:rPr>
          <w:rFonts w:ascii="Times New Roman"/>
        </w:rPr>
        <w:t>g。</w:t>
      </w:r>
    </w:p>
    <w:p>
      <w:pPr>
        <w:pStyle w:val="233"/>
        <w:numPr>
          <w:ilvl w:val="1"/>
          <w:numId w:val="33"/>
        </w:numPr>
        <w:jc w:val="left"/>
        <w:outlineLvl w:val="2"/>
      </w:pPr>
      <w:bookmarkStart w:id="220" w:name="_Toc267659277"/>
      <w:bookmarkEnd w:id="220"/>
      <w:bookmarkStart w:id="221" w:name="_Toc277778770"/>
      <w:bookmarkEnd w:id="221"/>
      <w:bookmarkStart w:id="222" w:name="_Toc427680356"/>
      <w:bookmarkStart w:id="223" w:name="_Toc427680437"/>
      <w:bookmarkStart w:id="224" w:name="_Toc427675817"/>
      <w:bookmarkStart w:id="225" w:name="_Toc277778834"/>
      <w:bookmarkStart w:id="226" w:name="_Toc427677800"/>
      <w:r>
        <w:t>1-</w:t>
      </w:r>
      <w:r>
        <w:rPr>
          <w:rFonts w:hint="eastAsia"/>
        </w:rPr>
        <w:t>甲基环丙烯（</w:t>
      </w:r>
      <w:r>
        <w:t>1-MCP</w:t>
      </w:r>
      <w:r>
        <w:rPr>
          <w:rFonts w:hint="eastAsia"/>
        </w:rPr>
        <w:t>）辅助保鲜</w:t>
      </w:r>
      <w:bookmarkEnd w:id="222"/>
      <w:bookmarkEnd w:id="223"/>
      <w:bookmarkEnd w:id="224"/>
      <w:bookmarkEnd w:id="225"/>
      <w:bookmarkEnd w:id="226"/>
      <w:bookmarkStart w:id="227" w:name="_Toc277778772"/>
      <w:bookmarkEnd w:id="227"/>
    </w:p>
    <w:p>
      <w:pPr>
        <w:pStyle w:val="233"/>
        <w:ind w:firstLine="420" w:firstLineChars="200"/>
        <w:rPr>
          <w:rFonts w:eastAsia="宋体"/>
          <w:color w:val="C00000"/>
          <w:szCs w:val="20"/>
        </w:rPr>
      </w:pPr>
      <w:r>
        <w:rPr>
          <w:rFonts w:eastAsia="宋体"/>
          <w:szCs w:val="20"/>
        </w:rPr>
        <w:t>把称好的1-MCP粉末放入可以密封的小瓶中，再按1:16的比例加入约40</w:t>
      </w:r>
      <w:r>
        <w:rPr>
          <w:rFonts w:hint="eastAsia" w:eastAsia="宋体"/>
          <w:szCs w:val="20"/>
          <w:lang w:val="en-US" w:eastAsia="zh-CN"/>
        </w:rPr>
        <w:t xml:space="preserve"> </w:t>
      </w:r>
      <w:r>
        <w:rPr>
          <w:rFonts w:eastAsia="宋体"/>
          <w:szCs w:val="20"/>
        </w:rPr>
        <w:t>℃的温水，然后立即拧紧瓶盖，充分摇匀。用0.10 mm厚的PVC薄膜制作成塑料帐，把需处理的果实放在塑料帐内，除留有一个操作孔外，其它部分先密封好，再把上述配制好的药剂放入塑料帐内，打开瓶盖，然后尽快将塑料帐封闭，让气体迅速从瓶中释放到密封的塑料帐内。密封熏蒸处理12 h～24 h，熏蒸温度0</w:t>
      </w:r>
      <w:r>
        <w:rPr>
          <w:rFonts w:hint="eastAsia" w:eastAsia="宋体"/>
          <w:szCs w:val="20"/>
          <w:lang w:val="en-US" w:eastAsia="zh-CN"/>
        </w:rPr>
        <w:t xml:space="preserve"> </w:t>
      </w:r>
      <w:r>
        <w:rPr>
          <w:rFonts w:eastAsia="宋体"/>
          <w:szCs w:val="20"/>
        </w:rPr>
        <w:t>℃～20</w:t>
      </w:r>
      <w:r>
        <w:rPr>
          <w:rFonts w:hint="eastAsia" w:eastAsia="宋体"/>
          <w:szCs w:val="20"/>
          <w:lang w:val="en-US" w:eastAsia="zh-CN"/>
        </w:rPr>
        <w:t xml:space="preserve"> </w:t>
      </w:r>
      <w:r>
        <w:rPr>
          <w:rFonts w:eastAsia="宋体"/>
          <w:szCs w:val="20"/>
        </w:rPr>
        <w:t>℃，之后在0</w:t>
      </w:r>
      <w:r>
        <w:rPr>
          <w:rFonts w:hint="eastAsia" w:eastAsia="宋体"/>
          <w:szCs w:val="20"/>
          <w:lang w:val="en-US" w:eastAsia="zh-CN"/>
        </w:rPr>
        <w:t xml:space="preserve"> </w:t>
      </w:r>
      <w:r>
        <w:rPr>
          <w:rFonts w:eastAsia="宋体"/>
          <w:szCs w:val="20"/>
        </w:rPr>
        <w:t>℃～1</w:t>
      </w:r>
      <w:r>
        <w:rPr>
          <w:rFonts w:hint="eastAsia" w:eastAsia="宋体"/>
          <w:szCs w:val="20"/>
          <w:lang w:val="en-US" w:eastAsia="zh-CN"/>
        </w:rPr>
        <w:t xml:space="preserve"> </w:t>
      </w:r>
      <w:r>
        <w:rPr>
          <w:rFonts w:eastAsia="宋体"/>
          <w:szCs w:val="20"/>
        </w:rPr>
        <w:t>℃条件下贮藏。也可在密封性较好的库房内进行上述操作</w:t>
      </w:r>
      <w:r>
        <w:rPr>
          <w:rFonts w:hint="eastAsia" w:eastAsia="宋体"/>
          <w:szCs w:val="20"/>
        </w:rPr>
        <w:t>。</w:t>
      </w:r>
    </w:p>
    <w:p>
      <w:pPr>
        <w:pStyle w:val="234"/>
        <w:numPr>
          <w:ilvl w:val="0"/>
          <w:numId w:val="33"/>
        </w:numPr>
        <w:spacing w:before="312" w:after="312"/>
        <w:outlineLvl w:val="1"/>
      </w:pPr>
      <w:bookmarkStart w:id="228" w:name="_Toc277778779"/>
      <w:bookmarkEnd w:id="228"/>
      <w:bookmarkStart w:id="229" w:name="_Toc267659281"/>
      <w:bookmarkEnd w:id="229"/>
      <w:bookmarkStart w:id="230" w:name="_Toc156037834"/>
      <w:bookmarkStart w:id="231" w:name="_Toc430336601"/>
      <w:bookmarkStart w:id="232" w:name="_Toc156037833"/>
      <w:bookmarkStart w:id="233" w:name="_Toc427680357"/>
      <w:bookmarkStart w:id="234" w:name="_Toc427680438"/>
      <w:bookmarkStart w:id="235" w:name="_Toc427675818"/>
      <w:bookmarkStart w:id="236" w:name="_Toc427680458"/>
      <w:bookmarkStart w:id="237" w:name="_Toc277778839"/>
      <w:bookmarkStart w:id="238" w:name="_Toc427677801"/>
      <w:r>
        <w:rPr>
          <w:rFonts w:hint="eastAsia"/>
        </w:rPr>
        <w:t>出库</w:t>
      </w:r>
      <w:bookmarkEnd w:id="230"/>
    </w:p>
    <w:p>
      <w:pPr>
        <w:pStyle w:val="232"/>
      </w:pPr>
      <w:bookmarkStart w:id="239" w:name="_Toc267659288"/>
      <w:bookmarkEnd w:id="239"/>
      <w:bookmarkStart w:id="240" w:name="_Toc277778786"/>
      <w:bookmarkEnd w:id="240"/>
      <w:bookmarkStart w:id="241" w:name="_Toc267659093"/>
      <w:bookmarkEnd w:id="241"/>
      <w:bookmarkStart w:id="242" w:name="_Toc427680362"/>
      <w:bookmarkStart w:id="243" w:name="_Toc427677806"/>
      <w:bookmarkStart w:id="244" w:name="_Toc427675823"/>
      <w:bookmarkStart w:id="245" w:name="_Toc277778846"/>
      <w:bookmarkStart w:id="246" w:name="_Toc427680443"/>
      <w:r>
        <w:rPr>
          <w:rFonts w:hint="eastAsia"/>
        </w:rPr>
        <w:t>气调库贮藏结束时，打开库门，开动风机</w:t>
      </w:r>
      <w:r>
        <w:t>1</w:t>
      </w:r>
      <w:r>
        <w:rPr>
          <w:rFonts w:hint="eastAsia"/>
          <w:lang w:val="en-US" w:eastAsia="zh-CN"/>
        </w:rPr>
        <w:t xml:space="preserve"> </w:t>
      </w:r>
      <w:r>
        <w:rPr>
          <w:rFonts w:ascii="Times New Roman" w:hAnsi="Times New Roman"/>
        </w:rPr>
        <w:t>h</w:t>
      </w:r>
      <w:r>
        <w:rPr>
          <w:rFonts w:hint="eastAsia"/>
        </w:rPr>
        <w:t>～</w:t>
      </w:r>
      <w:r>
        <w:t>2</w:t>
      </w:r>
      <w:r>
        <w:rPr>
          <w:rFonts w:hint="eastAsia"/>
        </w:rPr>
        <w:t xml:space="preserve"> h，待氧气浓度达到</w:t>
      </w:r>
      <w:r>
        <w:t>18</w:t>
      </w:r>
      <w:r>
        <w:rPr>
          <w:rFonts w:ascii="Times New Roman" w:hAnsi="Times New Roman"/>
        </w:rPr>
        <w:t>%</w:t>
      </w:r>
      <w:r>
        <w:rPr>
          <w:rFonts w:hint="eastAsia"/>
        </w:rPr>
        <w:t>以上时，方可进库操作。</w:t>
      </w:r>
    </w:p>
    <w:bookmarkEnd w:id="242"/>
    <w:bookmarkEnd w:id="243"/>
    <w:bookmarkEnd w:id="244"/>
    <w:bookmarkEnd w:id="245"/>
    <w:bookmarkEnd w:id="246"/>
    <w:p>
      <w:pPr>
        <w:pStyle w:val="234"/>
        <w:numPr>
          <w:ilvl w:val="0"/>
          <w:numId w:val="33"/>
        </w:numPr>
        <w:spacing w:before="312" w:after="312"/>
        <w:outlineLvl w:val="1"/>
      </w:pPr>
      <w:r>
        <w:rPr>
          <w:rFonts w:hint="eastAsia"/>
        </w:rPr>
        <w:t>风险控制</w:t>
      </w:r>
      <w:bookmarkEnd w:id="231"/>
      <w:bookmarkEnd w:id="232"/>
      <w:bookmarkEnd w:id="233"/>
      <w:bookmarkEnd w:id="234"/>
      <w:bookmarkEnd w:id="235"/>
      <w:bookmarkEnd w:id="236"/>
      <w:bookmarkEnd w:id="237"/>
      <w:bookmarkEnd w:id="238"/>
    </w:p>
    <w:p>
      <w:pPr>
        <w:pStyle w:val="233"/>
        <w:numPr>
          <w:ilvl w:val="1"/>
          <w:numId w:val="33"/>
        </w:numPr>
        <w:jc w:val="left"/>
        <w:outlineLvl w:val="2"/>
        <w:rPr>
          <w:rFonts w:cs="Times New Roman"/>
        </w:rPr>
      </w:pPr>
      <w:bookmarkStart w:id="247" w:name="_Toc267659087"/>
      <w:bookmarkEnd w:id="247"/>
      <w:bookmarkStart w:id="248" w:name="_Toc267659282"/>
      <w:bookmarkEnd w:id="248"/>
      <w:bookmarkStart w:id="249" w:name="_Toc277778780"/>
      <w:bookmarkEnd w:id="249"/>
      <w:bookmarkStart w:id="250" w:name="_Toc427675820"/>
      <w:bookmarkStart w:id="251" w:name="_Toc277778842"/>
      <w:bookmarkStart w:id="252" w:name="_Toc427677803"/>
      <w:bookmarkStart w:id="253" w:name="_Toc427680359"/>
      <w:bookmarkStart w:id="254" w:name="_Toc427680440"/>
      <w:bookmarkStart w:id="255" w:name="_Toc427680358"/>
      <w:bookmarkStart w:id="256" w:name="_Toc427680439"/>
      <w:bookmarkStart w:id="257" w:name="_Toc277778840"/>
      <w:bookmarkStart w:id="258" w:name="_Toc427677802"/>
      <w:bookmarkStart w:id="259" w:name="_Toc427675819"/>
      <w:r>
        <w:rPr>
          <w:rFonts w:eastAsia="宋体" w:cs="Times New Roman"/>
          <w:szCs w:val="20"/>
        </w:rPr>
        <w:t>采收运输期间应采取措施防止果实磕碰压刺磨伤、腐烂、黑心等的发生，贮藏期病害的预防措施见附录B。</w:t>
      </w:r>
      <w:bookmarkEnd w:id="250"/>
      <w:bookmarkEnd w:id="251"/>
      <w:bookmarkEnd w:id="252"/>
      <w:bookmarkEnd w:id="253"/>
      <w:bookmarkEnd w:id="254"/>
      <w:bookmarkStart w:id="260" w:name="_Toc267659090"/>
      <w:bookmarkEnd w:id="260"/>
      <w:bookmarkStart w:id="261" w:name="_Toc267659285"/>
      <w:bookmarkEnd w:id="261"/>
      <w:bookmarkStart w:id="262" w:name="_Toc277778783"/>
      <w:bookmarkEnd w:id="262"/>
      <w:bookmarkStart w:id="263" w:name="_Toc427675821"/>
      <w:bookmarkStart w:id="264" w:name="_Toc427680441"/>
      <w:bookmarkStart w:id="265" w:name="_Toc427680360"/>
      <w:bookmarkStart w:id="266" w:name="_Toc427677804"/>
      <w:bookmarkStart w:id="267" w:name="_Toc277778843"/>
      <w:r>
        <w:rPr>
          <w:rFonts w:eastAsia="宋体" w:cs="Times New Roman"/>
          <w:szCs w:val="20"/>
        </w:rPr>
        <w:t>贮藏期间应至少每隔半月抽检一次，检查项目包括黑心、二氧化碳伤害、异味、腐烂等情况，并分项记录，如发现问题及时处理。</w:t>
      </w:r>
      <w:bookmarkEnd w:id="263"/>
      <w:bookmarkEnd w:id="264"/>
      <w:bookmarkEnd w:id="265"/>
      <w:bookmarkEnd w:id="266"/>
      <w:bookmarkEnd w:id="267"/>
    </w:p>
    <w:p>
      <w:pPr>
        <w:pStyle w:val="233"/>
        <w:numPr>
          <w:ilvl w:val="1"/>
          <w:numId w:val="33"/>
        </w:numPr>
        <w:jc w:val="left"/>
        <w:outlineLvl w:val="2"/>
        <w:rPr>
          <w:rFonts w:eastAsia="宋体" w:cs="Times New Roman"/>
        </w:rPr>
      </w:pPr>
      <w:r>
        <w:rPr>
          <w:rFonts w:eastAsia="宋体" w:cs="Times New Roman"/>
        </w:rPr>
        <w:t>靠近风道冷风出口处的果实应采取塑料薄膜覆盖，以防失水和发生冻害。</w:t>
      </w:r>
      <w:bookmarkEnd w:id="255"/>
      <w:bookmarkEnd w:id="256"/>
      <w:bookmarkEnd w:id="257"/>
      <w:bookmarkEnd w:id="258"/>
      <w:bookmarkEnd w:id="259"/>
      <w:bookmarkStart w:id="268" w:name="_Toc267659089"/>
      <w:bookmarkEnd w:id="268"/>
      <w:bookmarkStart w:id="269" w:name="_Toc267659284"/>
      <w:bookmarkEnd w:id="269"/>
      <w:bookmarkStart w:id="270" w:name="_Toc277778782"/>
      <w:bookmarkEnd w:id="270"/>
      <w:r>
        <w:rPr>
          <w:rFonts w:eastAsia="宋体" w:cs="Times New Roman"/>
        </w:rPr>
        <w:t>观察窗附近放置梨样，定期取样观察。</w:t>
      </w:r>
    </w:p>
    <w:p>
      <w:pPr>
        <w:pStyle w:val="233"/>
        <w:numPr>
          <w:ilvl w:val="1"/>
          <w:numId w:val="33"/>
        </w:numPr>
        <w:jc w:val="left"/>
        <w:outlineLvl w:val="2"/>
        <w:rPr>
          <w:rFonts w:eastAsia="宋体" w:cs="Times New Roman"/>
        </w:rPr>
      </w:pPr>
      <w:r>
        <w:rPr>
          <w:rFonts w:eastAsia="宋体" w:cs="Times New Roman"/>
        </w:rPr>
        <w:t>贮藏期间入气调库检查，应戴好氧气呼吸器面具，库门外留人观察。</w:t>
      </w:r>
      <w:bookmarkStart w:id="271" w:name="_Toc267659286"/>
      <w:bookmarkEnd w:id="271"/>
      <w:bookmarkStart w:id="272" w:name="_Toc277778844"/>
      <w:bookmarkEnd w:id="272"/>
      <w:bookmarkStart w:id="273" w:name="_Toc277778784"/>
      <w:bookmarkEnd w:id="273"/>
      <w:bookmarkStart w:id="274" w:name="_Toc430336602"/>
    </w:p>
    <w:bookmarkEnd w:id="274"/>
    <w:p>
      <w:pPr>
        <w:pStyle w:val="234"/>
        <w:numPr>
          <w:ilvl w:val="0"/>
          <w:numId w:val="33"/>
        </w:numPr>
        <w:spacing w:before="312" w:after="312"/>
        <w:outlineLvl w:val="1"/>
      </w:pPr>
      <w:bookmarkStart w:id="275" w:name="_Toc156037835"/>
      <w:bookmarkStart w:id="276" w:name="_Toc430336603"/>
      <w:r>
        <w:rPr>
          <w:rFonts w:hint="eastAsia"/>
        </w:rPr>
        <w:t>贮藏档案</w:t>
      </w:r>
      <w:bookmarkEnd w:id="275"/>
      <w:bookmarkEnd w:id="276"/>
    </w:p>
    <w:p>
      <w:pPr>
        <w:pStyle w:val="232"/>
      </w:pPr>
      <w:r>
        <w:rPr>
          <w:rFonts w:hint="eastAsia"/>
        </w:rPr>
        <w:t>使用本标准进行贮藏时，应利用智能监控系统或专人详细记录冷库温度、湿度、气体成分、换气情况、腐烂率、病害情况。</w:t>
      </w:r>
    </w:p>
    <w:p>
      <w:pPr>
        <w:pStyle w:val="246"/>
        <w:spacing w:before="156" w:after="156"/>
        <w:ind w:left="363" w:firstLine="0"/>
        <w:jc w:val="both"/>
      </w:pPr>
      <w:r>
        <w:br w:type="page"/>
      </w:r>
    </w:p>
    <w:p>
      <w:pPr>
        <w:pStyle w:val="246"/>
        <w:spacing w:before="156" w:after="156"/>
        <w:ind w:left="363" w:firstLine="0"/>
        <w:jc w:val="both"/>
      </w:pPr>
    </w:p>
    <w:p>
      <w:pPr>
        <w:pStyle w:val="247"/>
        <w:numPr>
          <w:ilvl w:val="0"/>
          <w:numId w:val="4"/>
        </w:numPr>
        <w:spacing w:before="0" w:after="0"/>
      </w:pPr>
      <w:bookmarkStart w:id="277" w:name="_Toc430336604"/>
      <w:bookmarkStart w:id="278" w:name="_Toc156037836"/>
    </w:p>
    <w:p>
      <w:pPr>
        <w:pStyle w:val="247"/>
        <w:numPr>
          <w:ilvl w:val="0"/>
          <w:numId w:val="0"/>
        </w:numPr>
        <w:spacing w:before="0" w:after="0"/>
        <w:ind w:leftChars="0"/>
        <w:jc w:val="center"/>
      </w:pPr>
      <w:r>
        <w:rPr>
          <w:rFonts w:hint="eastAsia"/>
          <w:lang w:eastAsia="zh-CN"/>
        </w:rPr>
        <w:t>（</w:t>
      </w:r>
      <w:r>
        <w:rPr>
          <w:rFonts w:hint="eastAsia"/>
        </w:rPr>
        <w:t>规范性附录）</w:t>
      </w:r>
      <w:bookmarkEnd w:id="277"/>
      <w:bookmarkEnd w:id="278"/>
    </w:p>
    <w:p>
      <w:pPr>
        <w:pStyle w:val="232"/>
        <w:ind w:firstLine="0" w:firstLineChars="0"/>
        <w:jc w:val="center"/>
        <w:rPr>
          <w:rFonts w:ascii="黑体" w:hAnsi="Times New Roman" w:eastAsia="黑体"/>
        </w:rPr>
      </w:pPr>
      <w:r>
        <w:rPr>
          <w:rFonts w:hint="eastAsia" w:ascii="黑体" w:hAnsi="Times New Roman" w:eastAsia="黑体"/>
        </w:rPr>
        <w:t>梨种子颜色分级</w:t>
      </w:r>
    </w:p>
    <w:p>
      <w:pPr>
        <w:widowControl/>
        <w:autoSpaceDE w:val="0"/>
        <w:autoSpaceDN w:val="0"/>
        <w:rPr>
          <w:rFonts w:ascii="宋体"/>
          <w:kern w:val="0"/>
        </w:rPr>
      </w:pPr>
      <w:r>
        <w:rPr>
          <w:rFonts w:hint="eastAsia" w:ascii="宋体" w:hAnsi="宋体" w:cs="宋体"/>
          <w:kern w:val="0"/>
        </w:rPr>
        <w:t>根据梨种子颜色褐变面积大小和颜色深浅分为</w:t>
      </w:r>
      <w:r>
        <w:rPr>
          <w:rFonts w:ascii="宋体" w:hAnsi="宋体" w:cs="宋体"/>
          <w:kern w:val="0"/>
        </w:rPr>
        <w:t>6</w:t>
      </w:r>
      <w:r>
        <w:rPr>
          <w:rFonts w:hint="eastAsia" w:ascii="宋体" w:hAnsi="宋体" w:cs="宋体"/>
          <w:kern w:val="0"/>
        </w:rPr>
        <w:t>级，具体分级标准见图</w:t>
      </w:r>
      <w:r>
        <w:rPr>
          <w:rFonts w:ascii="宋体" w:hAnsi="宋体" w:cs="宋体"/>
          <w:kern w:val="0"/>
        </w:rPr>
        <w:t>A</w:t>
      </w:r>
      <w:r>
        <w:rPr>
          <w:rFonts w:hint="eastAsia" w:ascii="宋体" w:hAnsi="宋体" w:cs="宋体"/>
          <w:kern w:val="0"/>
        </w:rPr>
        <w:t>.1。</w:t>
      </w:r>
    </w:p>
    <w:p>
      <w:pPr>
        <w:spacing w:line="240" w:lineRule="auto"/>
        <w:jc w:val="center"/>
      </w:pPr>
      <w:r>
        <mc:AlternateContent>
          <mc:Choice Requires="wpg">
            <w:drawing>
              <wp:anchor distT="0" distB="0" distL="114300" distR="114300" simplePos="0" relativeHeight="251661312" behindDoc="0" locked="0" layoutInCell="1" allowOverlap="1">
                <wp:simplePos x="0" y="0"/>
                <wp:positionH relativeFrom="column">
                  <wp:posOffset>690880</wp:posOffset>
                </wp:positionH>
                <wp:positionV relativeFrom="paragraph">
                  <wp:posOffset>1630045</wp:posOffset>
                </wp:positionV>
                <wp:extent cx="4382135" cy="2398395"/>
                <wp:effectExtent l="0" t="0" r="0" b="0"/>
                <wp:wrapNone/>
                <wp:docPr id="11" name="组合 11"/>
                <wp:cNvGraphicFramePr/>
                <a:graphic xmlns:a="http://schemas.openxmlformats.org/drawingml/2006/main">
                  <a:graphicData uri="http://schemas.microsoft.com/office/word/2010/wordprocessingGroup">
                    <wpg:wgp>
                      <wpg:cNvGrpSpPr/>
                      <wpg:grpSpPr>
                        <a:xfrm>
                          <a:off x="0" y="0"/>
                          <a:ext cx="4382135" cy="2398395"/>
                          <a:chOff x="0" y="0"/>
                          <a:chExt cx="6901" cy="3949"/>
                        </a:xfrm>
                        <a:effectLst/>
                      </wpg:grpSpPr>
                      <wps:wsp>
                        <wps:cNvPr id="12" name="Text Box 25"/>
                        <wps:cNvSpPr txBox="1">
                          <a:spLocks noChangeArrowheads="1"/>
                        </wps:cNvSpPr>
                        <wps:spPr bwMode="auto">
                          <a:xfrm>
                            <a:off x="0" y="0"/>
                            <a:ext cx="1178" cy="430"/>
                          </a:xfrm>
                          <a:prstGeom prst="rect">
                            <a:avLst/>
                          </a:prstGeom>
                          <a:noFill/>
                          <a:ln>
                            <a:noFill/>
                          </a:ln>
                          <a:effectLst/>
                        </wps:spPr>
                        <wps:txbx>
                          <w:txbxContent>
                            <w:p>
                              <w:pPr>
                                <w:rPr>
                                  <w:sz w:val="18"/>
                                </w:rPr>
                              </w:pPr>
                              <w:r>
                                <w:rPr>
                                  <w:sz w:val="18"/>
                                </w:rPr>
                                <w:t>1</w:t>
                              </w:r>
                              <w:r>
                                <w:rPr>
                                  <w:rFonts w:hint="eastAsia"/>
                                  <w:sz w:val="18"/>
                                </w:rPr>
                                <w:t>级乳白色</w:t>
                              </w:r>
                            </w:p>
                          </w:txbxContent>
                        </wps:txbx>
                        <wps:bodyPr rot="0" vert="horz" wrap="square" lIns="0" tIns="0" rIns="0" bIns="0" anchor="t" anchorCtr="0" upright="1">
                          <a:noAutofit/>
                        </wps:bodyPr>
                      </wps:wsp>
                      <wps:wsp>
                        <wps:cNvPr id="13" name="Text Box 26"/>
                        <wps:cNvSpPr txBox="1">
                          <a:spLocks noChangeArrowheads="1"/>
                        </wps:cNvSpPr>
                        <wps:spPr bwMode="auto">
                          <a:xfrm>
                            <a:off x="2880" y="0"/>
                            <a:ext cx="1234" cy="547"/>
                          </a:xfrm>
                          <a:prstGeom prst="rect">
                            <a:avLst/>
                          </a:prstGeom>
                          <a:noFill/>
                          <a:ln>
                            <a:noFill/>
                          </a:ln>
                          <a:effectLst/>
                        </wps:spPr>
                        <wps:txbx>
                          <w:txbxContent>
                            <w:p>
                              <w:pPr>
                                <w:rPr>
                                  <w:sz w:val="18"/>
                                </w:rPr>
                              </w:pPr>
                              <w:r>
                                <w:rPr>
                                  <w:sz w:val="18"/>
                                </w:rPr>
                                <w:t>2</w:t>
                              </w:r>
                              <w:r>
                                <w:rPr>
                                  <w:rFonts w:hint="eastAsia"/>
                                  <w:sz w:val="18"/>
                                </w:rPr>
                                <w:t>级</w:t>
                              </w:r>
                              <w:r>
                                <w:rPr>
                                  <w:sz w:val="18"/>
                                </w:rPr>
                                <w:t xml:space="preserve"> 1/3</w:t>
                              </w:r>
                              <w:r>
                                <w:rPr>
                                  <w:rFonts w:hint="eastAsia"/>
                                  <w:sz w:val="18"/>
                                </w:rPr>
                                <w:t>褐</w:t>
                              </w:r>
                            </w:p>
                          </w:txbxContent>
                        </wps:txbx>
                        <wps:bodyPr rot="0" vert="horz" wrap="square" lIns="0" tIns="0" rIns="0" bIns="0" anchor="t" anchorCtr="0" upright="1">
                          <a:noAutofit/>
                        </wps:bodyPr>
                      </wps:wsp>
                      <wps:wsp>
                        <wps:cNvPr id="14" name="Text Box 27"/>
                        <wps:cNvSpPr txBox="1">
                          <a:spLocks noChangeArrowheads="1"/>
                        </wps:cNvSpPr>
                        <wps:spPr bwMode="auto">
                          <a:xfrm>
                            <a:off x="5400" y="0"/>
                            <a:ext cx="1220" cy="450"/>
                          </a:xfrm>
                          <a:prstGeom prst="rect">
                            <a:avLst/>
                          </a:prstGeom>
                          <a:noFill/>
                          <a:ln>
                            <a:noFill/>
                          </a:ln>
                          <a:effectLst/>
                        </wps:spPr>
                        <wps:txbx>
                          <w:txbxContent>
                            <w:p>
                              <w:pPr>
                                <w:rPr>
                                  <w:sz w:val="18"/>
                                </w:rPr>
                              </w:pPr>
                              <w:r>
                                <w:rPr>
                                  <w:sz w:val="18"/>
                                </w:rPr>
                                <w:t>3</w:t>
                              </w:r>
                              <w:r>
                                <w:rPr>
                                  <w:rFonts w:hint="eastAsia"/>
                                  <w:sz w:val="18"/>
                                </w:rPr>
                                <w:t>级</w:t>
                              </w:r>
                              <w:r>
                                <w:rPr>
                                  <w:sz w:val="18"/>
                                </w:rPr>
                                <w:t xml:space="preserve"> 1/2</w:t>
                              </w:r>
                              <w:r>
                                <w:rPr>
                                  <w:rFonts w:hint="eastAsia"/>
                                  <w:sz w:val="18"/>
                                </w:rPr>
                                <w:t>褐</w:t>
                              </w:r>
                            </w:p>
                          </w:txbxContent>
                        </wps:txbx>
                        <wps:bodyPr rot="0" vert="horz" wrap="square" lIns="0" tIns="0" rIns="0" bIns="0" anchor="t" anchorCtr="0" upright="1">
                          <a:noAutofit/>
                        </wps:bodyPr>
                      </wps:wsp>
                      <wps:wsp>
                        <wps:cNvPr id="15" name="Text Box 28"/>
                        <wps:cNvSpPr txBox="1">
                          <a:spLocks noChangeArrowheads="1"/>
                        </wps:cNvSpPr>
                        <wps:spPr bwMode="auto">
                          <a:xfrm>
                            <a:off x="0" y="3276"/>
                            <a:ext cx="1197" cy="497"/>
                          </a:xfrm>
                          <a:prstGeom prst="rect">
                            <a:avLst/>
                          </a:prstGeom>
                          <a:noFill/>
                          <a:ln>
                            <a:noFill/>
                          </a:ln>
                          <a:effectLst/>
                        </wps:spPr>
                        <wps:txbx>
                          <w:txbxContent>
                            <w:p>
                              <w:pPr>
                                <w:rPr>
                                  <w:sz w:val="18"/>
                                </w:rPr>
                              </w:pPr>
                              <w:r>
                                <w:rPr>
                                  <w:sz w:val="18"/>
                                </w:rPr>
                                <w:t>4</w:t>
                              </w:r>
                              <w:r>
                                <w:rPr>
                                  <w:rFonts w:hint="eastAsia"/>
                                  <w:sz w:val="18"/>
                                </w:rPr>
                                <w:t>级</w:t>
                              </w:r>
                              <w:r>
                                <w:rPr>
                                  <w:sz w:val="18"/>
                                </w:rPr>
                                <w:t xml:space="preserve"> 2/3</w:t>
                              </w:r>
                              <w:r>
                                <w:rPr>
                                  <w:rFonts w:hint="eastAsia"/>
                                  <w:sz w:val="18"/>
                                </w:rPr>
                                <w:t>褐</w:t>
                              </w:r>
                            </w:p>
                          </w:txbxContent>
                        </wps:txbx>
                        <wps:bodyPr rot="0" vert="horz" wrap="square" lIns="0" tIns="0" rIns="0" bIns="0" anchor="t" anchorCtr="0" upright="1">
                          <a:noAutofit/>
                        </wps:bodyPr>
                      </wps:wsp>
                      <wps:wsp>
                        <wps:cNvPr id="16" name="Text Box 29"/>
                        <wps:cNvSpPr txBox="1">
                          <a:spLocks noChangeArrowheads="1"/>
                        </wps:cNvSpPr>
                        <wps:spPr bwMode="auto">
                          <a:xfrm>
                            <a:off x="2880" y="3275"/>
                            <a:ext cx="1122" cy="596"/>
                          </a:xfrm>
                          <a:prstGeom prst="rect">
                            <a:avLst/>
                          </a:prstGeom>
                          <a:noFill/>
                          <a:ln>
                            <a:noFill/>
                          </a:ln>
                          <a:effectLst/>
                        </wps:spPr>
                        <wps:txbx>
                          <w:txbxContent>
                            <w:p>
                              <w:pPr>
                                <w:rPr>
                                  <w:sz w:val="18"/>
                                </w:rPr>
                              </w:pPr>
                              <w:r>
                                <w:rPr>
                                  <w:sz w:val="18"/>
                                </w:rPr>
                                <w:t>5</w:t>
                              </w:r>
                              <w:r>
                                <w:rPr>
                                  <w:rFonts w:hint="eastAsia"/>
                                  <w:sz w:val="18"/>
                                </w:rPr>
                                <w:t>级褐</w:t>
                              </w:r>
                            </w:p>
                          </w:txbxContent>
                        </wps:txbx>
                        <wps:bodyPr rot="0" vert="horz" wrap="square" lIns="0" tIns="0" rIns="0" bIns="0" anchor="t" anchorCtr="0" upright="1">
                          <a:noAutofit/>
                        </wps:bodyPr>
                      </wps:wsp>
                      <wps:wsp>
                        <wps:cNvPr id="17" name="Text Box 30"/>
                        <wps:cNvSpPr txBox="1">
                          <a:spLocks noChangeArrowheads="1"/>
                        </wps:cNvSpPr>
                        <wps:spPr bwMode="auto">
                          <a:xfrm>
                            <a:off x="5580" y="3275"/>
                            <a:ext cx="1321" cy="674"/>
                          </a:xfrm>
                          <a:prstGeom prst="rect">
                            <a:avLst/>
                          </a:prstGeom>
                          <a:noFill/>
                          <a:ln>
                            <a:noFill/>
                          </a:ln>
                          <a:effectLst/>
                        </wps:spPr>
                        <wps:txbx>
                          <w:txbxContent>
                            <w:p>
                              <w:pPr>
                                <w:rPr>
                                  <w:sz w:val="18"/>
                                </w:rPr>
                              </w:pPr>
                              <w:r>
                                <w:rPr>
                                  <w:sz w:val="18"/>
                                </w:rPr>
                                <w:t>6</w:t>
                              </w:r>
                              <w:r>
                                <w:rPr>
                                  <w:rFonts w:hint="eastAsia"/>
                                  <w:sz w:val="18"/>
                                </w:rPr>
                                <w:t>级黑褐</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54.4pt;margin-top:128.35pt;height:188.85pt;width:345.05pt;z-index:251661312;mso-width-relative:page;mso-height-relative:page;" coordsize="6901,3949" o:gfxdata="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PjPQKtwAAAALAQAADwAA&#10;AAAAAAABACAAAAAiAAAAZHJzL2Rvd25yZXYueG1sUEsBAhQAFAAAAAgAh07iQLSHfd0vAwAAThAA&#10;AA4AAAAAAAAAAQAgAAAAKwEAAGRycy9lMm9Eb2MueG1sUEsFBgAAAAAGAAYAWQEAAMwGAAAAAA==&#10;">
                <o:lock v:ext="edit" aspectratio="f"/>
                <v:shape id="Text Box 25" o:spid="_x0000_s1026" o:spt="202" type="#_x0000_t202" style="position:absolute;left:0;top:0;height:430;width:1178;"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8"/>
                          </w:rPr>
                        </w:pPr>
                        <w:r>
                          <w:rPr>
                            <w:sz w:val="18"/>
                          </w:rPr>
                          <w:t>1</w:t>
                        </w:r>
                        <w:r>
                          <w:rPr>
                            <w:rFonts w:hint="eastAsia"/>
                            <w:sz w:val="18"/>
                          </w:rPr>
                          <w:t>级乳白色</w:t>
                        </w:r>
                      </w:p>
                    </w:txbxContent>
                  </v:textbox>
                </v:shape>
                <v:shape id="Text Box 26" o:spid="_x0000_s1026" o:spt="202" type="#_x0000_t202" style="position:absolute;left:2880;top:0;height:547;width:1234;" filled="f" stroked="f" coordsize="21600,21600" o:gfxdata="UEsDBAoAAAAAAIdO4kAAAAAAAAAAAAAAAAAEAAAAZHJzL1BLAwQUAAAACACHTuJA+thvz7wAAADb&#10;AAAADwAAAGRycy9kb3ducmV2LnhtbEVP32vCMBB+F/Y/hBv4pokT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Yb8+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8"/>
                          </w:rPr>
                        </w:pPr>
                        <w:r>
                          <w:rPr>
                            <w:sz w:val="18"/>
                          </w:rPr>
                          <w:t>2</w:t>
                        </w:r>
                        <w:r>
                          <w:rPr>
                            <w:rFonts w:hint="eastAsia"/>
                            <w:sz w:val="18"/>
                          </w:rPr>
                          <w:t>级</w:t>
                        </w:r>
                        <w:r>
                          <w:rPr>
                            <w:sz w:val="18"/>
                          </w:rPr>
                          <w:t xml:space="preserve"> 1/3</w:t>
                        </w:r>
                        <w:r>
                          <w:rPr>
                            <w:rFonts w:hint="eastAsia"/>
                            <w:sz w:val="18"/>
                          </w:rPr>
                          <w:t>褐</w:t>
                        </w:r>
                      </w:p>
                    </w:txbxContent>
                  </v:textbox>
                </v:shape>
                <v:shape id="Text Box 27" o:spid="_x0000_s1026" o:spt="202" type="#_x0000_t202" style="position:absolute;left:5400;top:0;height:450;width:1220;"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8"/>
                          </w:rPr>
                        </w:pPr>
                        <w:r>
                          <w:rPr>
                            <w:sz w:val="18"/>
                          </w:rPr>
                          <w:t>3</w:t>
                        </w:r>
                        <w:r>
                          <w:rPr>
                            <w:rFonts w:hint="eastAsia"/>
                            <w:sz w:val="18"/>
                          </w:rPr>
                          <w:t>级</w:t>
                        </w:r>
                        <w:r>
                          <w:rPr>
                            <w:sz w:val="18"/>
                          </w:rPr>
                          <w:t xml:space="preserve"> 1/2</w:t>
                        </w:r>
                        <w:r>
                          <w:rPr>
                            <w:rFonts w:hint="eastAsia"/>
                            <w:sz w:val="18"/>
                          </w:rPr>
                          <w:t>褐</w:t>
                        </w:r>
                      </w:p>
                    </w:txbxContent>
                  </v:textbox>
                </v:shape>
                <v:shape id="Text Box 28" o:spid="_x0000_s1026" o:spt="202" type="#_x0000_t202" style="position:absolute;left:0;top:3276;height:497;width:1197;" filled="f" stroked="f" coordsize="21600,21600" o:gfxdata="UEsDBAoAAAAAAIdO4kAAAAAAAAAAAAAAAAAEAAAAZHJzL1BLAwQUAAAACACHTuJAGn1SILwAAADb&#10;AAAADwAAAGRycy9kb3ducmV2LnhtbEVP32vCMBB+F/Y/hBv4pokDRT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9UiC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8"/>
                          </w:rPr>
                        </w:pPr>
                        <w:r>
                          <w:rPr>
                            <w:sz w:val="18"/>
                          </w:rPr>
                          <w:t>4</w:t>
                        </w:r>
                        <w:r>
                          <w:rPr>
                            <w:rFonts w:hint="eastAsia"/>
                            <w:sz w:val="18"/>
                          </w:rPr>
                          <w:t>级</w:t>
                        </w:r>
                        <w:r>
                          <w:rPr>
                            <w:sz w:val="18"/>
                          </w:rPr>
                          <w:t xml:space="preserve"> 2/3</w:t>
                        </w:r>
                        <w:r>
                          <w:rPr>
                            <w:rFonts w:hint="eastAsia"/>
                            <w:sz w:val="18"/>
                          </w:rPr>
                          <w:t>褐</w:t>
                        </w:r>
                      </w:p>
                    </w:txbxContent>
                  </v:textbox>
                </v:shape>
                <v:shape id="Text Box 29" o:spid="_x0000_s1026" o:spt="202" type="#_x0000_t202" style="position:absolute;left:2880;top:3275;height:596;width:1122;" filled="f" stroked="f" coordsize="21600,21600" o:gfxdata="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qvzFe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8"/>
                          </w:rPr>
                        </w:pPr>
                        <w:r>
                          <w:rPr>
                            <w:sz w:val="18"/>
                          </w:rPr>
                          <w:t>5</w:t>
                        </w:r>
                        <w:r>
                          <w:rPr>
                            <w:rFonts w:hint="eastAsia"/>
                            <w:sz w:val="18"/>
                          </w:rPr>
                          <w:t>级褐</w:t>
                        </w:r>
                      </w:p>
                    </w:txbxContent>
                  </v:textbox>
                </v:shape>
                <v:shape id="Text Box 30" o:spid="_x0000_s1026" o:spt="202" type="#_x0000_t202" style="position:absolute;left:5580;top:3275;height:674;width:1321;"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8"/>
                          </w:rPr>
                        </w:pPr>
                        <w:r>
                          <w:rPr>
                            <w:sz w:val="18"/>
                          </w:rPr>
                          <w:t>6</w:t>
                        </w:r>
                        <w:r>
                          <w:rPr>
                            <w:rFonts w:hint="eastAsia"/>
                            <w:sz w:val="18"/>
                          </w:rPr>
                          <w:t>级黑褐</w:t>
                        </w:r>
                      </w:p>
                    </w:txbxContent>
                  </v:textbox>
                </v:shape>
              </v:group>
            </w:pict>
          </mc:Fallback>
        </mc:AlternateContent>
      </w:r>
      <w:r>
        <w:drawing>
          <wp:inline distT="0" distB="0" distL="0" distR="0">
            <wp:extent cx="1733550" cy="1697990"/>
            <wp:effectExtent l="0" t="0" r="0" b="0"/>
            <wp:docPr id="9" name="图片 9" descr="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白"/>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33550" cy="1697990"/>
                    </a:xfrm>
                    <a:prstGeom prst="rect">
                      <a:avLst/>
                    </a:prstGeom>
                    <a:noFill/>
                    <a:ln>
                      <a:noFill/>
                    </a:ln>
                  </pic:spPr>
                </pic:pic>
              </a:graphicData>
            </a:graphic>
          </wp:inline>
        </w:drawing>
      </w:r>
      <w:r>
        <w:drawing>
          <wp:inline distT="0" distB="0" distL="0" distR="0">
            <wp:extent cx="1733550" cy="1697990"/>
            <wp:effectExtent l="0" t="0" r="0" b="0"/>
            <wp:docPr id="8" name="图片 8" descr="尖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尖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733550" cy="1697990"/>
                    </a:xfrm>
                    <a:prstGeom prst="rect">
                      <a:avLst/>
                    </a:prstGeom>
                    <a:noFill/>
                    <a:ln>
                      <a:noFill/>
                    </a:ln>
                  </pic:spPr>
                </pic:pic>
              </a:graphicData>
            </a:graphic>
          </wp:inline>
        </w:drawing>
      </w:r>
      <w:r>
        <w:drawing>
          <wp:inline distT="0" distB="0" distL="0" distR="0">
            <wp:extent cx="1745615" cy="1697990"/>
            <wp:effectExtent l="0" t="0" r="6985" b="0"/>
            <wp:docPr id="7" name="图片 7" descr="1／3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3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745615" cy="1697990"/>
                    </a:xfrm>
                    <a:prstGeom prst="rect">
                      <a:avLst/>
                    </a:prstGeom>
                    <a:noFill/>
                    <a:ln>
                      <a:noFill/>
                    </a:ln>
                  </pic:spPr>
                </pic:pic>
              </a:graphicData>
            </a:graphic>
          </wp:inline>
        </w:drawing>
      </w:r>
    </w:p>
    <w:p>
      <w:pPr>
        <w:jc w:val="center"/>
      </w:pPr>
    </w:p>
    <w:p>
      <w:pPr>
        <w:spacing w:line="240" w:lineRule="auto"/>
        <w:jc w:val="center"/>
      </w:pPr>
      <w:r>
        <w:drawing>
          <wp:inline distT="0" distB="0" distL="0" distR="0">
            <wp:extent cx="1733550" cy="1579245"/>
            <wp:effectExtent l="0" t="0" r="0" b="1905"/>
            <wp:docPr id="6" name="图片 6" descr="2／3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3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733550" cy="1579245"/>
                    </a:xfrm>
                    <a:prstGeom prst="rect">
                      <a:avLst/>
                    </a:prstGeom>
                    <a:noFill/>
                    <a:ln>
                      <a:noFill/>
                    </a:ln>
                  </pic:spPr>
                </pic:pic>
              </a:graphicData>
            </a:graphic>
          </wp:inline>
        </w:drawing>
      </w:r>
      <w:r>
        <w:drawing>
          <wp:inline distT="0" distB="0" distL="0" distR="0">
            <wp:extent cx="1733550" cy="1567815"/>
            <wp:effectExtent l="0" t="0" r="0" b="0"/>
            <wp:docPr id="4" name="图片 4" descr="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33550" cy="1567815"/>
                    </a:xfrm>
                    <a:prstGeom prst="rect">
                      <a:avLst/>
                    </a:prstGeom>
                    <a:noFill/>
                    <a:ln>
                      <a:noFill/>
                    </a:ln>
                  </pic:spPr>
                </pic:pic>
              </a:graphicData>
            </a:graphic>
          </wp:inline>
        </w:drawing>
      </w:r>
      <w:r>
        <w:drawing>
          <wp:inline distT="0" distB="0" distL="0" distR="0">
            <wp:extent cx="1733550" cy="1579245"/>
            <wp:effectExtent l="0" t="0" r="0" b="1905"/>
            <wp:docPr id="3" name="图片 3" descr="黑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黑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733550" cy="1579245"/>
                    </a:xfrm>
                    <a:prstGeom prst="rect">
                      <a:avLst/>
                    </a:prstGeom>
                    <a:noFill/>
                    <a:ln>
                      <a:noFill/>
                    </a:ln>
                  </pic:spPr>
                </pic:pic>
              </a:graphicData>
            </a:graphic>
          </wp:inline>
        </w:drawing>
      </w:r>
    </w:p>
    <w:p>
      <w:pPr>
        <w:jc w:val="center"/>
      </w:pPr>
    </w:p>
    <w:p>
      <w:pPr>
        <w:jc w:val="center"/>
      </w:pPr>
      <w:r>
        <mc:AlternateContent>
          <mc:Choice Requires="wps">
            <w:drawing>
              <wp:anchor distT="0" distB="0" distL="114300" distR="114300" simplePos="0" relativeHeight="251662336" behindDoc="0" locked="0" layoutInCell="1" allowOverlap="1">
                <wp:simplePos x="0" y="0"/>
                <wp:positionH relativeFrom="column">
                  <wp:posOffset>937895</wp:posOffset>
                </wp:positionH>
                <wp:positionV relativeFrom="paragraph">
                  <wp:posOffset>133350</wp:posOffset>
                </wp:positionV>
                <wp:extent cx="4000500" cy="323850"/>
                <wp:effectExtent l="0" t="0" r="0" b="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4000500" cy="323850"/>
                        </a:xfrm>
                        <a:prstGeom prst="rect">
                          <a:avLst/>
                        </a:prstGeom>
                        <a:noFill/>
                        <a:ln>
                          <a:noFill/>
                        </a:ln>
                        <a:effectLst/>
                      </wps:spPr>
                      <wps:txbx>
                        <w:txbxContent>
                          <w:p>
                            <w:pPr>
                              <w:jc w:val="center"/>
                              <w:rPr>
                                <w:rFonts w:ascii="黑体" w:eastAsia="黑体"/>
                              </w:rPr>
                            </w:pPr>
                            <w:r>
                              <w:rPr>
                                <w:rFonts w:hint="eastAsia" w:ascii="黑体" w:eastAsia="黑体"/>
                              </w:rPr>
                              <w:t>图A.1 梨种子颜色分级</w:t>
                            </w:r>
                          </w:p>
                          <w:p>
                            <w:pPr>
                              <w:jc w:val="center"/>
                              <w:rPr>
                                <w:rFonts w:ascii="黑体" w:eastAsia="黑体"/>
                              </w:rPr>
                            </w:pPr>
                          </w:p>
                          <w:p>
                            <w:pPr>
                              <w:jc w:val="center"/>
                              <w:rPr>
                                <w:rFonts w:ascii="黑体" w:eastAsia="黑体"/>
                              </w:rPr>
                            </w:pPr>
                          </w:p>
                          <w:p>
                            <w:pPr>
                              <w:jc w:val="center"/>
                              <w:rPr>
                                <w:rFonts w:ascii="黑体" w:eastAsia="黑体"/>
                              </w:rPr>
                            </w:pPr>
                          </w:p>
                          <w:p>
                            <w:pPr>
                              <w:jc w:val="center"/>
                              <w:rPr>
                                <w:rFonts w:ascii="黑体" w:eastAsia="黑体"/>
                              </w:rPr>
                            </w:pPr>
                          </w:p>
                        </w:txbxContent>
                      </wps:txbx>
                      <wps:bodyPr rot="0" vert="horz" wrap="square" lIns="91440" tIns="0" rIns="91440" bIns="0" anchor="t" anchorCtr="0" upright="1">
                        <a:noAutofit/>
                      </wps:bodyPr>
                    </wps:wsp>
                  </a:graphicData>
                </a:graphic>
              </wp:anchor>
            </w:drawing>
          </mc:Choice>
          <mc:Fallback>
            <w:pict>
              <v:shape id="_x0000_s1026" o:spid="_x0000_s1026" o:spt="202" type="#_x0000_t202" style="position:absolute;left:0pt;margin-left:73.85pt;margin-top:10.5pt;height:25.5pt;width:315pt;z-index:251662336;mso-width-relative:page;mso-height-relative:page;" filled="f" stroked="f" coordsize="21600,21600" o:gfxdata="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3SJEf1QAAAAkBAAAPAAAA&#10;AAAAAAEAIAAAACIAAABkcnMvZG93bnJldi54bWxQSwECFAAUAAAACACHTuJA/dt/VhgCAAAdBAAA&#10;DgAAAAAAAAABACAAAAAkAQAAZHJzL2Uyb0RvYy54bWxQSwUGAAAAAAYABgBZAQAArgUAAAAA&#10;">
                <v:fill on="f" focussize="0,0"/>
                <v:stroke on="f"/>
                <v:imagedata o:title=""/>
                <o:lock v:ext="edit" aspectratio="f"/>
                <v:textbox inset="2.54mm,0mm,2.54mm,0mm">
                  <w:txbxContent>
                    <w:p>
                      <w:pPr>
                        <w:jc w:val="center"/>
                        <w:rPr>
                          <w:rFonts w:ascii="黑体" w:eastAsia="黑体"/>
                        </w:rPr>
                      </w:pPr>
                      <w:r>
                        <w:rPr>
                          <w:rFonts w:hint="eastAsia" w:ascii="黑体" w:eastAsia="黑体"/>
                        </w:rPr>
                        <w:t>图A.1 梨种子颜色分级</w:t>
                      </w:r>
                    </w:p>
                    <w:p>
                      <w:pPr>
                        <w:jc w:val="center"/>
                        <w:rPr>
                          <w:rFonts w:ascii="黑体" w:eastAsia="黑体"/>
                        </w:rPr>
                      </w:pPr>
                    </w:p>
                    <w:p>
                      <w:pPr>
                        <w:jc w:val="center"/>
                        <w:rPr>
                          <w:rFonts w:ascii="黑体" w:eastAsia="黑体"/>
                        </w:rPr>
                      </w:pPr>
                    </w:p>
                    <w:p>
                      <w:pPr>
                        <w:jc w:val="center"/>
                        <w:rPr>
                          <w:rFonts w:ascii="黑体" w:eastAsia="黑体"/>
                        </w:rPr>
                      </w:pPr>
                    </w:p>
                    <w:p>
                      <w:pPr>
                        <w:jc w:val="center"/>
                        <w:rPr>
                          <w:rFonts w:ascii="黑体" w:eastAsia="黑体"/>
                        </w:rPr>
                      </w:pPr>
                    </w:p>
                  </w:txbxContent>
                </v:textbox>
              </v:shape>
            </w:pict>
          </mc:Fallback>
        </mc:AlternateContent>
      </w:r>
    </w:p>
    <w:p>
      <w:pPr>
        <w:tabs>
          <w:tab w:val="left" w:pos="1185"/>
        </w:tabs>
      </w:pPr>
    </w:p>
    <w:p>
      <w:pPr>
        <w:pStyle w:val="232"/>
      </w:pPr>
    </w:p>
    <w:p>
      <w:pPr>
        <w:pStyle w:val="232"/>
      </w:pPr>
    </w:p>
    <w:p>
      <w:pPr>
        <w:pStyle w:val="232"/>
      </w:pPr>
    </w:p>
    <w:p>
      <w:pPr>
        <w:pStyle w:val="232"/>
      </w:pPr>
    </w:p>
    <w:p>
      <w:pPr>
        <w:pStyle w:val="232"/>
      </w:pPr>
    </w:p>
    <w:p>
      <w:pPr>
        <w:pStyle w:val="232"/>
      </w:pPr>
    </w:p>
    <w:p>
      <w:pPr>
        <w:pStyle w:val="232"/>
      </w:pPr>
    </w:p>
    <w:p>
      <w:pPr>
        <w:pStyle w:val="232"/>
      </w:pPr>
    </w:p>
    <w:p>
      <w:pPr>
        <w:pStyle w:val="232"/>
      </w:pPr>
    </w:p>
    <w:p>
      <w:pPr>
        <w:pStyle w:val="232"/>
      </w:pPr>
    </w:p>
    <w:p>
      <w:pPr>
        <w:pStyle w:val="232"/>
      </w:pPr>
    </w:p>
    <w:p>
      <w:pPr>
        <w:pStyle w:val="232"/>
      </w:pPr>
    </w:p>
    <w:p>
      <w:pPr>
        <w:pStyle w:val="232"/>
      </w:pPr>
    </w:p>
    <w:p>
      <w:pPr>
        <w:pStyle w:val="232"/>
      </w:pPr>
    </w:p>
    <w:p>
      <w:pPr>
        <w:pStyle w:val="247"/>
        <w:numPr>
          <w:ilvl w:val="0"/>
          <w:numId w:val="4"/>
        </w:numPr>
        <w:shd w:val="clear" w:color="FFFFFF" w:fill="FFFFFF"/>
        <w:spacing w:before="0" w:after="0"/>
      </w:pPr>
      <w:bookmarkStart w:id="279" w:name="_Toc156037837"/>
    </w:p>
    <w:p>
      <w:pPr>
        <w:pStyle w:val="247"/>
        <w:numPr>
          <w:ilvl w:val="0"/>
          <w:numId w:val="0"/>
        </w:numPr>
        <w:shd w:val="clear" w:color="FFFFFF" w:fill="FFFFFF"/>
        <w:spacing w:before="0" w:after="0"/>
        <w:ind w:leftChars="0"/>
        <w:jc w:val="center"/>
      </w:pPr>
      <w:r>
        <w:rPr>
          <w:rFonts w:hint="eastAsia"/>
        </w:rPr>
        <w:t>（规范性附录）</w:t>
      </w:r>
    </w:p>
    <w:p>
      <w:pPr>
        <w:pStyle w:val="247"/>
        <w:numPr>
          <w:ilvl w:val="0"/>
          <w:numId w:val="0"/>
        </w:numPr>
        <w:shd w:val="clear" w:color="FFFFFF" w:fill="FFFFFF"/>
        <w:spacing w:before="0" w:after="0"/>
        <w:ind w:leftChars="0"/>
        <w:jc w:val="center"/>
      </w:pPr>
      <w:r>
        <w:rPr>
          <w:rFonts w:hint="eastAsia"/>
          <w:lang w:val="en-US" w:eastAsia="zh-CN"/>
        </w:rPr>
        <w:t>玉</w:t>
      </w:r>
      <w:r>
        <w:rPr>
          <w:rFonts w:hint="eastAsia"/>
        </w:rPr>
        <w:t>露香梨贮藏病害及防控措施</w:t>
      </w:r>
      <w:bookmarkEnd w:id="279"/>
    </w:p>
    <w:p>
      <w:pPr>
        <w:widowControl/>
        <w:overflowPunct w:val="0"/>
        <w:spacing w:beforeLines="100" w:afterLines="100"/>
        <w:textAlignment w:val="baseline"/>
        <w:outlineLvl w:val="1"/>
        <w:rPr>
          <w:rFonts w:ascii="黑体" w:hAnsi="宋体" w:eastAsia="黑体"/>
          <w:kern w:val="0"/>
        </w:rPr>
      </w:pPr>
      <w:r>
        <w:rPr>
          <w:rFonts w:ascii="黑体" w:hAnsi="宋体" w:eastAsia="黑体" w:cs="黑体"/>
          <w:kern w:val="0"/>
        </w:rPr>
        <w:t>B.1</w:t>
      </w:r>
      <w:r>
        <w:rPr>
          <w:rFonts w:hint="eastAsia" w:ascii="黑体" w:hAnsi="宋体" w:eastAsia="黑体" w:cs="黑体"/>
          <w:kern w:val="0"/>
        </w:rPr>
        <w:t>真菌病害</w:t>
      </w:r>
    </w:p>
    <w:p>
      <w:pPr>
        <w:ind w:firstLine="420"/>
        <w:rPr>
          <w:rFonts w:ascii="宋体"/>
          <w:color w:val="000000"/>
        </w:rPr>
      </w:pPr>
      <w:r>
        <w:rPr>
          <w:rFonts w:hint="eastAsia" w:ascii="宋体" w:hAnsi="宋体" w:cs="宋体"/>
          <w:color w:val="000000"/>
        </w:rPr>
        <w:t>玉露香梨采后侵染性病害主要是真菌病害，引起果实腐烂，其中危害较重的有青霉病、灰霉病、褐腐病、轮纹病等，可采取以下防控措施：</w:t>
      </w:r>
    </w:p>
    <w:p>
      <w:pPr>
        <w:pStyle w:val="232"/>
      </w:pPr>
      <w:r>
        <w:rPr>
          <w:rFonts w:hint="eastAsia"/>
        </w:rPr>
        <w:t>——应减少磕碰伤；</w:t>
      </w:r>
    </w:p>
    <w:p>
      <w:pPr>
        <w:pStyle w:val="232"/>
      </w:pPr>
      <w:r>
        <w:rPr>
          <w:rFonts w:hint="eastAsia"/>
        </w:rPr>
        <w:t>——采收时或采后入库前，及时剔除病、虫、伤及烂果；</w:t>
      </w:r>
    </w:p>
    <w:p>
      <w:pPr>
        <w:pStyle w:val="232"/>
      </w:pPr>
      <w:r>
        <w:rPr>
          <w:rFonts w:hint="eastAsia"/>
        </w:rPr>
        <w:t>——贮前对冷藏场所及包装进行清扫（清洗）消毒；</w:t>
      </w:r>
    </w:p>
    <w:p>
      <w:pPr>
        <w:pStyle w:val="232"/>
      </w:pPr>
      <w:r>
        <w:rPr>
          <w:rFonts w:hint="eastAsia"/>
        </w:rPr>
        <w:t>——对分级车间经常消毒；</w:t>
      </w:r>
    </w:p>
    <w:p>
      <w:pPr>
        <w:pStyle w:val="232"/>
      </w:pPr>
      <w:r>
        <w:rPr>
          <w:rFonts w:hint="eastAsia"/>
        </w:rPr>
        <w:t>——彻底清除果园中的枯枝烂果等污染源；</w:t>
      </w:r>
    </w:p>
    <w:p>
      <w:pPr>
        <w:pStyle w:val="232"/>
      </w:pPr>
      <w:r>
        <w:rPr>
          <w:rFonts w:hint="eastAsia"/>
        </w:rPr>
        <w:t>——严格控制贮藏温度；</w:t>
      </w:r>
    </w:p>
    <w:p>
      <w:pPr>
        <w:pStyle w:val="232"/>
      </w:pPr>
      <w:r>
        <w:rPr>
          <w:rFonts w:hint="eastAsia"/>
        </w:rPr>
        <w:t>——生长期果实套袋。</w:t>
      </w:r>
    </w:p>
    <w:p>
      <w:pPr>
        <w:widowControl/>
        <w:overflowPunct w:val="0"/>
        <w:spacing w:beforeLines="100" w:afterLines="100"/>
        <w:textAlignment w:val="baseline"/>
        <w:outlineLvl w:val="1"/>
        <w:rPr>
          <w:rFonts w:ascii="黑体" w:hAnsi="宋体" w:eastAsia="黑体"/>
          <w:kern w:val="0"/>
        </w:rPr>
      </w:pPr>
      <w:r>
        <w:rPr>
          <w:rFonts w:ascii="黑体" w:hAnsi="宋体" w:eastAsia="黑体" w:cs="黑体"/>
          <w:kern w:val="0"/>
        </w:rPr>
        <w:t xml:space="preserve">B.2 </w:t>
      </w:r>
      <w:r>
        <w:rPr>
          <w:rFonts w:hint="eastAsia" w:ascii="黑体" w:hAnsi="宋体" w:eastAsia="黑体" w:cs="黑体"/>
          <w:kern w:val="0"/>
        </w:rPr>
        <w:t>生理病害</w:t>
      </w:r>
    </w:p>
    <w:p>
      <w:pPr>
        <w:widowControl/>
        <w:autoSpaceDE w:val="0"/>
        <w:autoSpaceDN w:val="0"/>
        <w:ind w:firstLine="420" w:firstLineChars="200"/>
        <w:rPr>
          <w:rFonts w:ascii="宋体"/>
          <w:color w:val="000000"/>
        </w:rPr>
      </w:pPr>
      <w:r>
        <w:rPr>
          <w:rFonts w:hint="eastAsia" w:ascii="宋体" w:hAnsi="宋体" w:cs="宋体"/>
          <w:color w:val="000000"/>
        </w:rPr>
        <w:t>玉露香梨贮藏期主要生理性病害的症状描述、可能病因、防控措施见表</w:t>
      </w:r>
      <w:r>
        <w:rPr>
          <w:rFonts w:ascii="宋体" w:hAnsi="宋体" w:cs="宋体"/>
          <w:color w:val="000000"/>
        </w:rPr>
        <w:t>B.1</w:t>
      </w:r>
      <w:r>
        <w:rPr>
          <w:rFonts w:hint="eastAsia" w:ascii="宋体" w:hAnsi="宋体" w:cs="宋体"/>
          <w:color w:val="000000"/>
        </w:rPr>
        <w:t>。</w:t>
      </w:r>
    </w:p>
    <w:p>
      <w:pPr>
        <w:snapToGrid w:val="0"/>
        <w:jc w:val="center"/>
        <w:rPr>
          <w:rFonts w:ascii="黑体" w:hAnsi="宋体" w:eastAsia="黑体"/>
        </w:rPr>
      </w:pPr>
      <w:r>
        <w:rPr>
          <w:rFonts w:hint="eastAsia" w:ascii="黑体" w:hAnsi="宋体" w:eastAsia="黑体" w:cs="黑体"/>
        </w:rPr>
        <w:t>表</w:t>
      </w:r>
      <w:r>
        <w:rPr>
          <w:rFonts w:ascii="黑体" w:hAnsi="宋体" w:eastAsia="黑体" w:cs="黑体"/>
        </w:rPr>
        <w:t>B.1</w:t>
      </w:r>
      <w:r>
        <w:rPr>
          <w:rFonts w:hint="eastAsia" w:ascii="黑体" w:hAnsi="宋体" w:eastAsia="黑体" w:cs="黑体"/>
        </w:rPr>
        <w:t>玉露香梨贮藏期间主要生理病害</w:t>
      </w:r>
    </w:p>
    <w:tbl>
      <w:tblPr>
        <w:tblStyle w:val="26"/>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6"/>
        <w:gridCol w:w="2693"/>
        <w:gridCol w:w="2856"/>
        <w:gridCol w:w="235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1526" w:type="dxa"/>
            <w:tcBorders>
              <w:top w:val="single" w:color="auto" w:sz="8" w:space="0"/>
              <w:bottom w:val="single" w:color="auto" w:sz="8" w:space="0"/>
            </w:tcBorders>
            <w:vAlign w:val="center"/>
          </w:tcPr>
          <w:p>
            <w:pPr>
              <w:snapToGrid w:val="0"/>
              <w:spacing w:line="273" w:lineRule="auto"/>
              <w:jc w:val="center"/>
              <w:rPr>
                <w:rFonts w:ascii="宋体"/>
                <w:sz w:val="18"/>
                <w:szCs w:val="18"/>
              </w:rPr>
            </w:pPr>
            <w:r>
              <w:rPr>
                <w:rFonts w:hint="eastAsia" w:ascii="宋体" w:hAnsi="宋体" w:cs="宋体"/>
                <w:sz w:val="18"/>
                <w:szCs w:val="18"/>
              </w:rPr>
              <w:t>病害名称</w:t>
            </w:r>
          </w:p>
        </w:tc>
        <w:tc>
          <w:tcPr>
            <w:tcW w:w="2693" w:type="dxa"/>
            <w:tcBorders>
              <w:top w:val="single" w:color="auto" w:sz="8" w:space="0"/>
              <w:bottom w:val="single" w:color="auto" w:sz="8" w:space="0"/>
            </w:tcBorders>
          </w:tcPr>
          <w:p>
            <w:pPr>
              <w:snapToGrid w:val="0"/>
              <w:spacing w:line="273" w:lineRule="auto"/>
              <w:jc w:val="center"/>
              <w:rPr>
                <w:rFonts w:ascii="宋体"/>
                <w:sz w:val="18"/>
                <w:szCs w:val="18"/>
              </w:rPr>
            </w:pPr>
            <w:r>
              <w:rPr>
                <w:rFonts w:hint="eastAsia" w:ascii="宋体" w:hAnsi="宋体" w:cs="宋体"/>
                <w:sz w:val="18"/>
                <w:szCs w:val="18"/>
              </w:rPr>
              <w:t>症状描述</w:t>
            </w:r>
          </w:p>
        </w:tc>
        <w:tc>
          <w:tcPr>
            <w:tcW w:w="2856" w:type="dxa"/>
            <w:tcBorders>
              <w:top w:val="single" w:color="auto" w:sz="8" w:space="0"/>
              <w:bottom w:val="single" w:color="auto" w:sz="8" w:space="0"/>
            </w:tcBorders>
          </w:tcPr>
          <w:p>
            <w:pPr>
              <w:snapToGrid w:val="0"/>
              <w:spacing w:line="273" w:lineRule="auto"/>
              <w:jc w:val="center"/>
              <w:rPr>
                <w:rFonts w:ascii="宋体"/>
                <w:sz w:val="18"/>
                <w:szCs w:val="18"/>
              </w:rPr>
            </w:pPr>
            <w:r>
              <w:rPr>
                <w:rFonts w:hint="eastAsia" w:ascii="宋体" w:hAnsi="宋体" w:cs="宋体"/>
                <w:sz w:val="18"/>
                <w:szCs w:val="18"/>
              </w:rPr>
              <w:t>可能病因</w:t>
            </w:r>
          </w:p>
        </w:tc>
        <w:tc>
          <w:tcPr>
            <w:tcW w:w="2358" w:type="dxa"/>
            <w:tcBorders>
              <w:top w:val="single" w:color="auto" w:sz="8" w:space="0"/>
              <w:bottom w:val="single" w:color="auto" w:sz="8" w:space="0"/>
            </w:tcBorders>
          </w:tcPr>
          <w:p>
            <w:pPr>
              <w:snapToGrid w:val="0"/>
              <w:spacing w:line="273" w:lineRule="auto"/>
              <w:jc w:val="center"/>
              <w:rPr>
                <w:rFonts w:ascii="宋体"/>
                <w:sz w:val="18"/>
                <w:szCs w:val="18"/>
              </w:rPr>
            </w:pPr>
            <w:r>
              <w:rPr>
                <w:rFonts w:hint="eastAsia" w:ascii="宋体" w:hAnsi="宋体" w:cs="宋体"/>
                <w:sz w:val="18"/>
                <w:szCs w:val="18"/>
              </w:rPr>
              <w:t>防控措施</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283" w:hRule="atLeast"/>
        </w:trPr>
        <w:tc>
          <w:tcPr>
            <w:tcW w:w="1526" w:type="dxa"/>
            <w:tcBorders>
              <w:top w:val="single" w:color="auto" w:sz="8" w:space="0"/>
            </w:tcBorders>
            <w:vAlign w:val="center"/>
          </w:tcPr>
          <w:p>
            <w:pPr>
              <w:snapToGrid w:val="0"/>
              <w:spacing w:line="273" w:lineRule="auto"/>
              <w:jc w:val="center"/>
              <w:rPr>
                <w:rFonts w:ascii="宋体"/>
                <w:sz w:val="18"/>
                <w:szCs w:val="18"/>
              </w:rPr>
            </w:pPr>
            <w:r>
              <w:rPr>
                <w:rFonts w:hint="eastAsia" w:ascii="宋体" w:hAnsi="宋体" w:cs="宋体"/>
                <w:sz w:val="18"/>
                <w:szCs w:val="18"/>
              </w:rPr>
              <w:t>黑心病</w:t>
            </w:r>
          </w:p>
        </w:tc>
        <w:tc>
          <w:tcPr>
            <w:tcW w:w="2693" w:type="dxa"/>
            <w:tcBorders>
              <w:top w:val="single" w:color="auto" w:sz="8" w:space="0"/>
            </w:tcBorders>
            <w:vAlign w:val="center"/>
          </w:tcPr>
          <w:p>
            <w:pPr>
              <w:snapToGrid w:val="0"/>
              <w:spacing w:line="273" w:lineRule="auto"/>
              <w:rPr>
                <w:rFonts w:ascii="宋体"/>
                <w:sz w:val="18"/>
                <w:szCs w:val="18"/>
              </w:rPr>
            </w:pPr>
            <w:r>
              <w:rPr>
                <w:rFonts w:hint="eastAsia" w:ascii="宋体" w:hAnsi="宋体" w:cs="宋体"/>
                <w:sz w:val="18"/>
                <w:szCs w:val="18"/>
              </w:rPr>
              <w:t>果心变褐色或深褐色</w:t>
            </w:r>
          </w:p>
        </w:tc>
        <w:tc>
          <w:tcPr>
            <w:tcW w:w="2856" w:type="dxa"/>
            <w:tcBorders>
              <w:top w:val="single" w:color="auto" w:sz="8" w:space="0"/>
            </w:tcBorders>
            <w:vAlign w:val="center"/>
          </w:tcPr>
          <w:p>
            <w:pPr>
              <w:snapToGrid w:val="0"/>
              <w:spacing w:line="273" w:lineRule="auto"/>
              <w:rPr>
                <w:rFonts w:ascii="宋体"/>
                <w:sz w:val="18"/>
                <w:szCs w:val="18"/>
              </w:rPr>
            </w:pPr>
            <w:r>
              <w:rPr>
                <w:rFonts w:ascii="宋体" w:hAnsi="宋体" w:cs="宋体"/>
                <w:sz w:val="18"/>
                <w:szCs w:val="18"/>
              </w:rPr>
              <w:t>1</w:t>
            </w:r>
            <w:r>
              <w:rPr>
                <w:rFonts w:hAnsi="宋体"/>
                <w:sz w:val="18"/>
                <w:szCs w:val="18"/>
              </w:rPr>
              <w:t xml:space="preserve">. </w:t>
            </w:r>
            <w:r>
              <w:rPr>
                <w:rFonts w:hint="eastAsia" w:ascii="宋体" w:hAnsi="宋体" w:cs="宋体"/>
                <w:sz w:val="18"/>
                <w:szCs w:val="18"/>
              </w:rPr>
              <w:t>采收过晚</w:t>
            </w:r>
          </w:p>
          <w:p>
            <w:pPr>
              <w:snapToGrid w:val="0"/>
              <w:spacing w:line="273" w:lineRule="auto"/>
              <w:rPr>
                <w:rFonts w:ascii="宋体"/>
                <w:sz w:val="18"/>
                <w:szCs w:val="18"/>
              </w:rPr>
            </w:pPr>
            <w:r>
              <w:rPr>
                <w:rFonts w:ascii="宋体" w:hAnsi="宋体" w:cs="宋体"/>
                <w:sz w:val="18"/>
                <w:szCs w:val="18"/>
              </w:rPr>
              <w:t>2</w:t>
            </w:r>
            <w:r>
              <w:rPr>
                <w:rFonts w:hAnsi="宋体"/>
                <w:sz w:val="18"/>
                <w:szCs w:val="18"/>
              </w:rPr>
              <w:t xml:space="preserve">. </w:t>
            </w:r>
            <w:r>
              <w:rPr>
                <w:rFonts w:hint="eastAsia" w:ascii="宋体" w:hAnsi="宋体" w:cs="宋体"/>
                <w:sz w:val="18"/>
                <w:szCs w:val="18"/>
              </w:rPr>
              <w:t>贮期过长</w:t>
            </w:r>
          </w:p>
          <w:p>
            <w:pPr>
              <w:snapToGrid w:val="0"/>
              <w:spacing w:line="273" w:lineRule="auto"/>
              <w:rPr>
                <w:rFonts w:ascii="宋体"/>
                <w:sz w:val="18"/>
                <w:szCs w:val="18"/>
              </w:rPr>
            </w:pPr>
            <w:r>
              <w:rPr>
                <w:rFonts w:hAnsi="宋体"/>
                <w:sz w:val="18"/>
                <w:szCs w:val="18"/>
              </w:rPr>
              <w:t xml:space="preserve">3. </w:t>
            </w:r>
            <w:r>
              <w:rPr>
                <w:rFonts w:hint="eastAsia" w:ascii="宋体" w:hAnsi="宋体" w:cs="宋体"/>
                <w:sz w:val="18"/>
                <w:szCs w:val="18"/>
              </w:rPr>
              <w:t>未及时入贮</w:t>
            </w:r>
          </w:p>
          <w:p>
            <w:pPr>
              <w:snapToGrid w:val="0"/>
              <w:spacing w:line="273" w:lineRule="auto"/>
              <w:rPr>
                <w:rFonts w:ascii="宋体"/>
                <w:sz w:val="18"/>
                <w:szCs w:val="18"/>
              </w:rPr>
            </w:pPr>
            <w:r>
              <w:rPr>
                <w:rFonts w:hAnsi="宋体"/>
                <w:sz w:val="18"/>
                <w:szCs w:val="18"/>
              </w:rPr>
              <w:t xml:space="preserve">4. </w:t>
            </w:r>
            <w:r>
              <w:rPr>
                <w:rFonts w:hint="eastAsia" w:ascii="宋体" w:hAnsi="宋体" w:cs="宋体"/>
                <w:sz w:val="18"/>
                <w:szCs w:val="18"/>
              </w:rPr>
              <w:t>梨果氮素过高，钙素过低</w:t>
            </w:r>
          </w:p>
          <w:p>
            <w:pPr>
              <w:snapToGrid w:val="0"/>
              <w:spacing w:line="273" w:lineRule="auto"/>
              <w:rPr>
                <w:rFonts w:ascii="宋体"/>
                <w:sz w:val="18"/>
                <w:szCs w:val="18"/>
              </w:rPr>
            </w:pPr>
            <w:r>
              <w:rPr>
                <w:rFonts w:hAnsi="宋体"/>
                <w:sz w:val="18"/>
                <w:szCs w:val="18"/>
              </w:rPr>
              <w:t>5.</w:t>
            </w:r>
            <w:r>
              <w:rPr>
                <w:rFonts w:hint="eastAsia" w:ascii="宋体" w:hAnsi="宋体" w:cs="宋体"/>
                <w:sz w:val="18"/>
                <w:szCs w:val="18"/>
              </w:rPr>
              <w:t>二氧化碳浓度过高</w:t>
            </w:r>
          </w:p>
        </w:tc>
        <w:tc>
          <w:tcPr>
            <w:tcW w:w="2358" w:type="dxa"/>
            <w:tcBorders>
              <w:top w:val="single" w:color="auto" w:sz="8" w:space="0"/>
            </w:tcBorders>
            <w:vAlign w:val="center"/>
          </w:tcPr>
          <w:p>
            <w:pPr>
              <w:snapToGrid w:val="0"/>
              <w:spacing w:line="273" w:lineRule="auto"/>
              <w:rPr>
                <w:rFonts w:ascii="宋体"/>
                <w:sz w:val="18"/>
                <w:szCs w:val="18"/>
              </w:rPr>
            </w:pPr>
            <w:r>
              <w:rPr>
                <w:rFonts w:ascii="宋体" w:hAnsi="宋体" w:cs="宋体"/>
                <w:sz w:val="18"/>
                <w:szCs w:val="18"/>
              </w:rPr>
              <w:t>1</w:t>
            </w:r>
            <w:r>
              <w:rPr>
                <w:rFonts w:hAnsi="宋体"/>
                <w:sz w:val="18"/>
                <w:szCs w:val="18"/>
              </w:rPr>
              <w:t xml:space="preserve">. </w:t>
            </w:r>
            <w:r>
              <w:rPr>
                <w:rFonts w:hint="eastAsia" w:ascii="宋体" w:hAnsi="宋体" w:cs="宋体"/>
                <w:sz w:val="18"/>
                <w:szCs w:val="18"/>
              </w:rPr>
              <w:t>适期采收及时入库</w:t>
            </w:r>
          </w:p>
          <w:p>
            <w:pPr>
              <w:snapToGrid w:val="0"/>
              <w:spacing w:line="273" w:lineRule="auto"/>
              <w:rPr>
                <w:rFonts w:ascii="宋体"/>
                <w:sz w:val="18"/>
                <w:szCs w:val="18"/>
              </w:rPr>
            </w:pPr>
            <w:r>
              <w:rPr>
                <w:rFonts w:ascii="宋体" w:hAnsi="宋体" w:cs="宋体"/>
                <w:sz w:val="18"/>
                <w:szCs w:val="18"/>
              </w:rPr>
              <w:t>2</w:t>
            </w:r>
            <w:r>
              <w:rPr>
                <w:rFonts w:hAnsi="宋体"/>
                <w:sz w:val="18"/>
                <w:szCs w:val="18"/>
              </w:rPr>
              <w:t xml:space="preserve">. </w:t>
            </w:r>
            <w:r>
              <w:rPr>
                <w:rFonts w:hint="eastAsia" w:ascii="宋体" w:hAnsi="宋体" w:cs="宋体"/>
                <w:sz w:val="18"/>
                <w:szCs w:val="18"/>
              </w:rPr>
              <w:t>贮期适当</w:t>
            </w:r>
          </w:p>
          <w:p>
            <w:pPr>
              <w:snapToGrid w:val="0"/>
              <w:spacing w:line="273" w:lineRule="auto"/>
              <w:rPr>
                <w:rFonts w:ascii="宋体"/>
                <w:sz w:val="18"/>
                <w:szCs w:val="18"/>
              </w:rPr>
            </w:pPr>
            <w:r>
              <w:rPr>
                <w:rFonts w:hAnsi="宋体"/>
                <w:sz w:val="18"/>
                <w:szCs w:val="18"/>
              </w:rPr>
              <w:t xml:space="preserve">3. </w:t>
            </w:r>
            <w:r>
              <w:rPr>
                <w:rFonts w:hint="eastAsia" w:ascii="宋体" w:hAnsi="宋体" w:cs="宋体"/>
                <w:sz w:val="18"/>
                <w:szCs w:val="18"/>
              </w:rPr>
              <w:t>生长期喷施钙肥</w:t>
            </w:r>
          </w:p>
          <w:p>
            <w:pPr>
              <w:snapToGrid w:val="0"/>
              <w:spacing w:line="273" w:lineRule="auto"/>
              <w:rPr>
                <w:rFonts w:ascii="宋体"/>
                <w:sz w:val="18"/>
                <w:szCs w:val="18"/>
              </w:rPr>
            </w:pPr>
            <w:r>
              <w:rPr>
                <w:rFonts w:hAnsi="宋体"/>
                <w:sz w:val="18"/>
                <w:szCs w:val="18"/>
              </w:rPr>
              <w:t xml:space="preserve">4. </w:t>
            </w:r>
            <w:r>
              <w:rPr>
                <w:rFonts w:hint="eastAsia" w:ascii="宋体" w:hAnsi="宋体" w:cs="宋体"/>
                <w:sz w:val="18"/>
                <w:szCs w:val="18"/>
              </w:rPr>
              <w:t>防止二氧化碳浓度过高</w:t>
            </w:r>
          </w:p>
          <w:p>
            <w:pPr>
              <w:snapToGrid w:val="0"/>
              <w:spacing w:line="273" w:lineRule="auto"/>
              <w:rPr>
                <w:rFonts w:ascii="宋体"/>
                <w:sz w:val="18"/>
                <w:szCs w:val="18"/>
              </w:rPr>
            </w:pPr>
            <w:r>
              <w:rPr>
                <w:rFonts w:ascii="宋体" w:hAnsi="宋体" w:cs="宋体"/>
                <w:sz w:val="18"/>
                <w:szCs w:val="18"/>
              </w:rPr>
              <w:t>5. 1-MCP</w:t>
            </w:r>
            <w:r>
              <w:rPr>
                <w:rFonts w:hint="eastAsia" w:ascii="宋体" w:hAnsi="宋体" w:cs="宋体"/>
                <w:sz w:val="18"/>
                <w:szCs w:val="18"/>
              </w:rPr>
              <w:t>保鲜处理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54" w:hRule="atLeast"/>
        </w:trPr>
        <w:tc>
          <w:tcPr>
            <w:tcW w:w="1526" w:type="dxa"/>
            <w:vAlign w:val="center"/>
          </w:tcPr>
          <w:p>
            <w:pPr>
              <w:snapToGrid w:val="0"/>
              <w:spacing w:line="273" w:lineRule="auto"/>
              <w:jc w:val="center"/>
              <w:rPr>
                <w:rFonts w:ascii="宋体"/>
                <w:sz w:val="18"/>
                <w:szCs w:val="18"/>
              </w:rPr>
            </w:pPr>
            <w:r>
              <w:rPr>
                <w:rFonts w:hint="eastAsia" w:ascii="宋体" w:hAnsi="宋体" w:cs="宋体"/>
                <w:sz w:val="18"/>
                <w:szCs w:val="18"/>
              </w:rPr>
              <w:t>果皮油腻化</w:t>
            </w:r>
          </w:p>
        </w:tc>
        <w:tc>
          <w:tcPr>
            <w:tcW w:w="2693" w:type="dxa"/>
            <w:vAlign w:val="center"/>
          </w:tcPr>
          <w:p>
            <w:pPr>
              <w:snapToGrid w:val="0"/>
              <w:spacing w:line="273" w:lineRule="auto"/>
              <w:rPr>
                <w:rFonts w:ascii="宋体"/>
                <w:sz w:val="18"/>
                <w:szCs w:val="18"/>
              </w:rPr>
            </w:pPr>
            <w:r>
              <w:rPr>
                <w:rFonts w:hint="eastAsia" w:ascii="宋体" w:hAnsi="宋体" w:cs="宋体"/>
                <w:sz w:val="18"/>
                <w:szCs w:val="18"/>
              </w:rPr>
              <w:t>果皮发亮，手触有油腻感</w:t>
            </w:r>
          </w:p>
        </w:tc>
        <w:tc>
          <w:tcPr>
            <w:tcW w:w="2856" w:type="dxa"/>
            <w:vAlign w:val="center"/>
          </w:tcPr>
          <w:p>
            <w:pPr>
              <w:snapToGrid w:val="0"/>
              <w:spacing w:line="273" w:lineRule="auto"/>
              <w:rPr>
                <w:rFonts w:ascii="宋体"/>
                <w:sz w:val="18"/>
                <w:szCs w:val="18"/>
              </w:rPr>
            </w:pPr>
            <w:r>
              <w:rPr>
                <w:rFonts w:hAnsi="宋体"/>
                <w:sz w:val="18"/>
                <w:szCs w:val="18"/>
              </w:rPr>
              <w:t xml:space="preserve">1. </w:t>
            </w:r>
            <w:r>
              <w:rPr>
                <w:rFonts w:hint="eastAsia" w:ascii="宋体" w:hAnsi="宋体" w:cs="宋体"/>
                <w:sz w:val="18"/>
                <w:szCs w:val="18"/>
              </w:rPr>
              <w:t>采收过晚</w:t>
            </w:r>
          </w:p>
          <w:p>
            <w:pPr>
              <w:snapToGrid w:val="0"/>
              <w:spacing w:line="273" w:lineRule="auto"/>
              <w:rPr>
                <w:rFonts w:ascii="宋体"/>
                <w:sz w:val="18"/>
                <w:szCs w:val="18"/>
              </w:rPr>
            </w:pPr>
            <w:r>
              <w:rPr>
                <w:rFonts w:hAnsi="宋体"/>
                <w:sz w:val="18"/>
                <w:szCs w:val="18"/>
              </w:rPr>
              <w:t xml:space="preserve">2. </w:t>
            </w:r>
            <w:r>
              <w:rPr>
                <w:rFonts w:hint="eastAsia" w:ascii="宋体" w:hAnsi="宋体" w:cs="宋体"/>
                <w:sz w:val="18"/>
                <w:szCs w:val="18"/>
              </w:rPr>
              <w:t>贮温过高</w:t>
            </w:r>
          </w:p>
          <w:p>
            <w:pPr>
              <w:snapToGrid w:val="0"/>
              <w:spacing w:line="273" w:lineRule="auto"/>
              <w:rPr>
                <w:rFonts w:ascii="宋体"/>
                <w:sz w:val="18"/>
                <w:szCs w:val="18"/>
              </w:rPr>
            </w:pPr>
            <w:r>
              <w:rPr>
                <w:rFonts w:hAnsi="宋体"/>
                <w:sz w:val="18"/>
                <w:szCs w:val="18"/>
              </w:rPr>
              <w:t>3.</w:t>
            </w:r>
            <w:r>
              <w:rPr>
                <w:rFonts w:hint="eastAsia" w:ascii="宋体" w:hAnsi="宋体" w:cs="宋体"/>
                <w:sz w:val="18"/>
                <w:szCs w:val="18"/>
              </w:rPr>
              <w:t>贮期过长</w:t>
            </w:r>
          </w:p>
        </w:tc>
        <w:tc>
          <w:tcPr>
            <w:tcW w:w="2358" w:type="dxa"/>
            <w:vAlign w:val="center"/>
          </w:tcPr>
          <w:p>
            <w:pPr>
              <w:snapToGrid w:val="0"/>
              <w:spacing w:line="273" w:lineRule="auto"/>
              <w:rPr>
                <w:rFonts w:ascii="宋体"/>
                <w:sz w:val="18"/>
                <w:szCs w:val="18"/>
              </w:rPr>
            </w:pPr>
            <w:r>
              <w:rPr>
                <w:rFonts w:hAnsi="宋体"/>
                <w:sz w:val="18"/>
                <w:szCs w:val="18"/>
              </w:rPr>
              <w:t xml:space="preserve">1. </w:t>
            </w:r>
            <w:r>
              <w:rPr>
                <w:rFonts w:hint="eastAsia" w:ascii="宋体" w:hAnsi="宋体" w:cs="宋体"/>
                <w:sz w:val="18"/>
                <w:szCs w:val="18"/>
              </w:rPr>
              <w:t>适期采收</w:t>
            </w:r>
          </w:p>
          <w:p>
            <w:pPr>
              <w:snapToGrid w:val="0"/>
              <w:spacing w:line="273" w:lineRule="auto"/>
              <w:rPr>
                <w:rFonts w:ascii="宋体"/>
                <w:sz w:val="18"/>
                <w:szCs w:val="18"/>
              </w:rPr>
            </w:pPr>
            <w:r>
              <w:rPr>
                <w:rFonts w:hAnsi="宋体"/>
                <w:sz w:val="18"/>
                <w:szCs w:val="18"/>
              </w:rPr>
              <w:t xml:space="preserve">2. </w:t>
            </w:r>
            <w:r>
              <w:rPr>
                <w:rFonts w:hint="eastAsia" w:ascii="宋体" w:hAnsi="宋体" w:cs="宋体"/>
                <w:sz w:val="18"/>
                <w:szCs w:val="18"/>
              </w:rPr>
              <w:t>贮期适当</w:t>
            </w:r>
          </w:p>
          <w:p>
            <w:pPr>
              <w:snapToGrid w:val="0"/>
              <w:spacing w:line="273" w:lineRule="auto"/>
              <w:rPr>
                <w:rFonts w:ascii="宋体"/>
                <w:sz w:val="18"/>
                <w:szCs w:val="18"/>
              </w:rPr>
            </w:pPr>
            <w:r>
              <w:rPr>
                <w:rFonts w:ascii="宋体" w:hAnsi="宋体" w:cs="宋体"/>
                <w:sz w:val="18"/>
                <w:szCs w:val="18"/>
              </w:rPr>
              <w:t>3.1-MCP</w:t>
            </w:r>
            <w:r>
              <w:rPr>
                <w:rFonts w:hint="eastAsia" w:ascii="宋体" w:hAnsi="宋体" w:cs="宋体"/>
                <w:sz w:val="18"/>
                <w:szCs w:val="18"/>
              </w:rPr>
              <w:t>保鲜处理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82" w:hRule="atLeast"/>
        </w:trPr>
        <w:tc>
          <w:tcPr>
            <w:tcW w:w="1526" w:type="dxa"/>
            <w:vAlign w:val="center"/>
          </w:tcPr>
          <w:p>
            <w:pPr>
              <w:snapToGrid w:val="0"/>
              <w:spacing w:line="273" w:lineRule="auto"/>
              <w:jc w:val="center"/>
              <w:rPr>
                <w:rFonts w:ascii="宋体"/>
                <w:sz w:val="18"/>
                <w:szCs w:val="18"/>
              </w:rPr>
            </w:pPr>
            <w:r>
              <w:rPr>
                <w:rFonts w:hint="eastAsia" w:ascii="宋体" w:hAnsi="宋体" w:cs="宋体"/>
                <w:sz w:val="18"/>
                <w:szCs w:val="18"/>
              </w:rPr>
              <w:t>二氧化碳伤害</w:t>
            </w:r>
          </w:p>
        </w:tc>
        <w:tc>
          <w:tcPr>
            <w:tcW w:w="2693" w:type="dxa"/>
            <w:vAlign w:val="center"/>
          </w:tcPr>
          <w:p>
            <w:pPr>
              <w:snapToGrid w:val="0"/>
              <w:spacing w:line="273" w:lineRule="auto"/>
              <w:rPr>
                <w:rFonts w:ascii="宋体"/>
                <w:sz w:val="18"/>
                <w:szCs w:val="18"/>
              </w:rPr>
            </w:pPr>
            <w:r>
              <w:rPr>
                <w:rFonts w:hint="eastAsia" w:ascii="宋体" w:hAnsi="宋体" w:cs="宋体"/>
                <w:sz w:val="18"/>
                <w:szCs w:val="18"/>
              </w:rPr>
              <w:t>果心变褐色或深褐色，严重者果肉呈褐色或深褐色，后期果肉产生空洞。</w:t>
            </w:r>
          </w:p>
        </w:tc>
        <w:tc>
          <w:tcPr>
            <w:tcW w:w="2856" w:type="dxa"/>
            <w:vAlign w:val="center"/>
          </w:tcPr>
          <w:p>
            <w:pPr>
              <w:snapToGrid w:val="0"/>
              <w:spacing w:line="273" w:lineRule="auto"/>
              <w:rPr>
                <w:rFonts w:ascii="宋体"/>
                <w:sz w:val="18"/>
                <w:szCs w:val="18"/>
              </w:rPr>
            </w:pPr>
            <w:r>
              <w:rPr>
                <w:rFonts w:hint="eastAsia" w:ascii="宋体" w:hAnsi="宋体" w:cs="宋体"/>
                <w:sz w:val="18"/>
                <w:szCs w:val="18"/>
              </w:rPr>
              <w:t>贮藏环境二氧化碳浓度过高</w:t>
            </w:r>
          </w:p>
        </w:tc>
        <w:tc>
          <w:tcPr>
            <w:tcW w:w="2358" w:type="dxa"/>
            <w:vAlign w:val="center"/>
          </w:tcPr>
          <w:p>
            <w:pPr>
              <w:snapToGrid w:val="0"/>
              <w:spacing w:line="273" w:lineRule="auto"/>
              <w:rPr>
                <w:rFonts w:ascii="宋体"/>
                <w:sz w:val="18"/>
                <w:szCs w:val="18"/>
              </w:rPr>
            </w:pPr>
            <w:r>
              <w:rPr>
                <w:rFonts w:ascii="宋体" w:hAnsi="宋体" w:cs="宋体"/>
                <w:sz w:val="18"/>
                <w:szCs w:val="18"/>
              </w:rPr>
              <w:t xml:space="preserve">1. </w:t>
            </w:r>
            <w:r>
              <w:rPr>
                <w:rFonts w:hint="eastAsia" w:ascii="宋体" w:hAnsi="宋体" w:cs="宋体"/>
                <w:sz w:val="18"/>
                <w:szCs w:val="18"/>
              </w:rPr>
              <w:t>冷库及时通风</w:t>
            </w:r>
          </w:p>
          <w:p>
            <w:pPr>
              <w:snapToGrid w:val="0"/>
              <w:spacing w:line="273" w:lineRule="auto"/>
              <w:rPr>
                <w:rFonts w:ascii="宋体"/>
                <w:sz w:val="18"/>
                <w:szCs w:val="18"/>
              </w:rPr>
            </w:pPr>
            <w:r>
              <w:rPr>
                <w:rFonts w:ascii="宋体" w:hAnsi="宋体" w:cs="宋体"/>
                <w:sz w:val="18"/>
                <w:szCs w:val="18"/>
              </w:rPr>
              <w:t xml:space="preserve">2. </w:t>
            </w:r>
            <w:r>
              <w:rPr>
                <w:rFonts w:hint="eastAsia" w:ascii="宋体" w:hAnsi="宋体" w:cs="宋体"/>
                <w:sz w:val="18"/>
                <w:szCs w:val="18"/>
              </w:rPr>
              <w:t>气调库及塑料袋贮藏时防止二氧化碳浓度过高</w:t>
            </w:r>
          </w:p>
        </w:tc>
      </w:tr>
    </w:tbl>
    <w:p>
      <w:pPr>
        <w:pStyle w:val="246"/>
        <w:spacing w:before="156" w:after="156"/>
        <w:ind w:left="0" w:firstLine="0"/>
        <w:jc w:val="both"/>
      </w:pPr>
    </w:p>
    <w:p>
      <w:pPr>
        <w:pStyle w:val="248"/>
        <w:framePr w:wrap="around" w:hAnchor="page" w:x="4463" w:y="521"/>
      </w:pPr>
      <w:r>
        <w:t>________________________</w:t>
      </w:r>
    </w:p>
    <w:p>
      <w:pPr>
        <w:pStyle w:val="232"/>
      </w:pPr>
    </w:p>
    <w:p>
      <w:pPr>
        <w:pStyle w:val="232"/>
      </w:pPr>
    </w:p>
    <w:bookmarkEnd w:id="28"/>
    <w:bookmarkEnd w:id="29"/>
    <w:p>
      <w:pPr>
        <w:pStyle w:val="56"/>
        <w:ind w:firstLine="0" w:firstLineChars="0"/>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w Cen MT">
    <w:panose1 w:val="020B0602020104020603"/>
    <w:charset w:val="00"/>
    <w:family w:val="swiss"/>
    <w:pitch w:val="default"/>
    <w:sig w:usb0="00000003" w:usb1="00000000" w:usb2="00000000" w:usb3="00000000" w:csb0="20000003"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5474"/>
        </w:tabs>
        <w:ind w:left="5474" w:hanging="648"/>
      </w:pPr>
    </w:lvl>
    <w:lvl w:ilvl="1" w:tentative="0">
      <w:start w:val="1"/>
      <w:numFmt w:val="lowerLetter"/>
      <w:lvlText w:val="%2)"/>
      <w:lvlJc w:val="left"/>
      <w:pPr>
        <w:tabs>
          <w:tab w:val="left" w:pos="5666"/>
        </w:tabs>
        <w:ind w:left="5666" w:hanging="420"/>
      </w:pPr>
    </w:lvl>
    <w:lvl w:ilvl="2" w:tentative="0">
      <w:start w:val="1"/>
      <w:numFmt w:val="lowerRoman"/>
      <w:lvlText w:val="%3."/>
      <w:lvlJc w:val="right"/>
      <w:pPr>
        <w:tabs>
          <w:tab w:val="left" w:pos="6086"/>
        </w:tabs>
        <w:ind w:left="6086" w:hanging="420"/>
      </w:pPr>
    </w:lvl>
    <w:lvl w:ilvl="3" w:tentative="0">
      <w:start w:val="1"/>
      <w:numFmt w:val="decimal"/>
      <w:lvlText w:val="%4."/>
      <w:lvlJc w:val="left"/>
      <w:pPr>
        <w:tabs>
          <w:tab w:val="left" w:pos="6506"/>
        </w:tabs>
        <w:ind w:left="6506" w:hanging="420"/>
      </w:pPr>
    </w:lvl>
    <w:lvl w:ilvl="4" w:tentative="0">
      <w:start w:val="1"/>
      <w:numFmt w:val="lowerLetter"/>
      <w:lvlText w:val="%5)"/>
      <w:lvlJc w:val="left"/>
      <w:pPr>
        <w:tabs>
          <w:tab w:val="left" w:pos="6926"/>
        </w:tabs>
        <w:ind w:left="6926" w:hanging="420"/>
      </w:pPr>
    </w:lvl>
    <w:lvl w:ilvl="5" w:tentative="0">
      <w:start w:val="1"/>
      <w:numFmt w:val="lowerRoman"/>
      <w:lvlText w:val="%6."/>
      <w:lvlJc w:val="right"/>
      <w:pPr>
        <w:tabs>
          <w:tab w:val="left" w:pos="7346"/>
        </w:tabs>
        <w:ind w:left="7346" w:hanging="420"/>
      </w:pPr>
    </w:lvl>
    <w:lvl w:ilvl="6" w:tentative="0">
      <w:start w:val="1"/>
      <w:numFmt w:val="decimal"/>
      <w:lvlText w:val="%7."/>
      <w:lvlJc w:val="left"/>
      <w:pPr>
        <w:tabs>
          <w:tab w:val="left" w:pos="7766"/>
        </w:tabs>
        <w:ind w:left="7766" w:hanging="420"/>
      </w:pPr>
    </w:lvl>
    <w:lvl w:ilvl="7" w:tentative="0">
      <w:start w:val="1"/>
      <w:numFmt w:val="lowerLetter"/>
      <w:lvlText w:val="%8)"/>
      <w:lvlJc w:val="left"/>
      <w:pPr>
        <w:tabs>
          <w:tab w:val="left" w:pos="8186"/>
        </w:tabs>
        <w:ind w:left="8186" w:hanging="420"/>
      </w:pPr>
    </w:lvl>
    <w:lvl w:ilvl="8" w:tentative="0">
      <w:start w:val="1"/>
      <w:numFmt w:val="lowerRoman"/>
      <w:lvlText w:val="%9."/>
      <w:lvlJc w:val="right"/>
      <w:pPr>
        <w:tabs>
          <w:tab w:val="left" w:pos="8606"/>
        </w:tabs>
        <w:ind w:left="8606"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6">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9">
    <w:nsid w:val="1FC91163"/>
    <w:multiLevelType w:val="multilevel"/>
    <w:tmpl w:val="1FC91163"/>
    <w:lvl w:ilvl="0" w:tentative="0">
      <w:start w:val="1"/>
      <w:numFmt w:val="decimal"/>
      <w:suff w:val="nothing"/>
      <w:lvlText w:val="%1　"/>
      <w:lvlJc w:val="left"/>
      <w:pPr>
        <w:ind w:left="105"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2E32610F"/>
    <w:multiLevelType w:val="multilevel"/>
    <w:tmpl w:val="2E32610F"/>
    <w:lvl w:ilvl="0" w:tentative="0">
      <w:start w:val="1"/>
      <w:numFmt w:val="decimal"/>
      <w:pStyle w:val="239"/>
      <w:lvlText w:val="图%1 "/>
      <w:lvlJc w:val="left"/>
      <w:pPr>
        <w:ind w:left="220" w:hanging="420"/>
      </w:pPr>
      <w:rPr>
        <w:rFonts w:hint="default" w:ascii="Times New Roman" w:hAnsi="Times New Roman" w:eastAsia="黑体"/>
        <w:sz w:val="21"/>
      </w:rPr>
    </w:lvl>
    <w:lvl w:ilvl="1" w:tentative="0">
      <w:start w:val="1"/>
      <w:numFmt w:val="lowerLetter"/>
      <w:lvlText w:val="%2)"/>
      <w:lvlJc w:val="left"/>
      <w:pPr>
        <w:ind w:left="640" w:hanging="420"/>
      </w:pPr>
    </w:lvl>
    <w:lvl w:ilvl="2" w:tentative="0">
      <w:start w:val="1"/>
      <w:numFmt w:val="lowerRoman"/>
      <w:lvlText w:val="%3."/>
      <w:lvlJc w:val="right"/>
      <w:pPr>
        <w:ind w:left="1060" w:hanging="420"/>
      </w:pPr>
    </w:lvl>
    <w:lvl w:ilvl="3" w:tentative="0">
      <w:start w:val="1"/>
      <w:numFmt w:val="decimal"/>
      <w:lvlText w:val="%4."/>
      <w:lvlJc w:val="left"/>
      <w:pPr>
        <w:ind w:left="1480" w:hanging="420"/>
      </w:pPr>
    </w:lvl>
    <w:lvl w:ilvl="4" w:tentative="0">
      <w:start w:val="1"/>
      <w:numFmt w:val="lowerLetter"/>
      <w:lvlText w:val="%5)"/>
      <w:lvlJc w:val="left"/>
      <w:pPr>
        <w:ind w:left="1900" w:hanging="420"/>
      </w:pPr>
    </w:lvl>
    <w:lvl w:ilvl="5" w:tentative="0">
      <w:start w:val="1"/>
      <w:numFmt w:val="lowerRoman"/>
      <w:lvlText w:val="%6."/>
      <w:lvlJc w:val="right"/>
      <w:pPr>
        <w:ind w:left="2320" w:hanging="420"/>
      </w:pPr>
    </w:lvl>
    <w:lvl w:ilvl="6" w:tentative="0">
      <w:start w:val="1"/>
      <w:numFmt w:val="decimal"/>
      <w:lvlText w:val="%7."/>
      <w:lvlJc w:val="left"/>
      <w:pPr>
        <w:ind w:left="2740" w:hanging="420"/>
      </w:pPr>
    </w:lvl>
    <w:lvl w:ilvl="7" w:tentative="0">
      <w:start w:val="1"/>
      <w:numFmt w:val="lowerLetter"/>
      <w:lvlText w:val="%8)"/>
      <w:lvlJc w:val="left"/>
      <w:pPr>
        <w:ind w:left="3160" w:hanging="420"/>
      </w:pPr>
    </w:lvl>
    <w:lvl w:ilvl="8" w:tentative="0">
      <w:start w:val="1"/>
      <w:numFmt w:val="lowerRoman"/>
      <w:lvlText w:val="%9."/>
      <w:lvlJc w:val="right"/>
      <w:pPr>
        <w:ind w:left="3580" w:hanging="420"/>
      </w:p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D0278CB"/>
    <w:multiLevelType w:val="multilevel"/>
    <w:tmpl w:val="4D0278CB"/>
    <w:lvl w:ilvl="0" w:tentative="0">
      <w:start w:val="1"/>
      <w:numFmt w:val="none"/>
      <w:pStyle w:val="89"/>
      <w:lvlText w:val="%1"/>
      <w:lvlJc w:val="left"/>
      <w:pPr>
        <w:ind w:left="425" w:hanging="425"/>
      </w:pPr>
      <w:rPr>
        <w:rFonts w:hint="eastAsia"/>
      </w:rPr>
    </w:lvl>
    <w:lvl w:ilvl="1" w:tentative="0">
      <w:start w:val="1"/>
      <w:numFmt w:val="decimal"/>
      <w:pStyle w:val="201"/>
      <w:suff w:val="nothing"/>
      <w:lvlText w:val="%16.%2 "/>
      <w:lvlJc w:val="left"/>
      <w:pPr>
        <w:tabs>
          <w:tab w:val="left" w:pos="0"/>
        </w:tabs>
        <w:ind w:left="0" w:firstLine="0"/>
      </w:pPr>
      <w:rPr>
        <w:rFonts w:hint="default" w:ascii="宋体" w:hAnsi="宋体" w:eastAsia="宋体" w:cs="宋体"/>
        <w:b w:val="0"/>
        <w:i w:val="0"/>
        <w:sz w:val="21"/>
      </w:rPr>
    </w:lvl>
    <w:lvl w:ilvl="2" w:tentative="0">
      <w:start w:val="1"/>
      <w:numFmt w:val="decimal"/>
      <w:pStyle w:val="202"/>
      <w:suff w:val="nothing"/>
      <w:lvlText w:val="%10.%2.%3 "/>
      <w:lvlJc w:val="left"/>
      <w:pPr>
        <w:ind w:left="0" w:firstLine="0"/>
      </w:pPr>
      <w:rPr>
        <w:rFonts w:hint="eastAsia" w:ascii="黑体" w:hAnsi="等线" w:eastAsia="黑体"/>
        <w:b w:val="0"/>
        <w:i w:val="0"/>
        <w:sz w:val="21"/>
      </w:rPr>
    </w:lvl>
    <w:lvl w:ilvl="3" w:tentative="0">
      <w:start w:val="1"/>
      <w:numFmt w:val="decimal"/>
      <w:pStyle w:val="203"/>
      <w:suff w:val="nothing"/>
      <w:lvlText w:val="%10.%2.%3.%4 "/>
      <w:lvlJc w:val="left"/>
      <w:pPr>
        <w:ind w:left="0" w:firstLine="0"/>
      </w:pPr>
      <w:rPr>
        <w:rFonts w:hint="eastAsia" w:ascii="黑体" w:hAnsi="等线" w:eastAsia="黑体"/>
        <w:b w:val="0"/>
        <w:i w:val="0"/>
        <w:sz w:val="21"/>
      </w:rPr>
    </w:lvl>
    <w:lvl w:ilvl="4" w:tentative="0">
      <w:start w:val="1"/>
      <w:numFmt w:val="decimal"/>
      <w:pStyle w:val="204"/>
      <w:suff w:val="nothing"/>
      <w:lvlText w:val="%10.%2.%3.%4.%5 "/>
      <w:lvlJc w:val="left"/>
      <w:pPr>
        <w:ind w:left="0" w:firstLine="0"/>
      </w:pPr>
      <w:rPr>
        <w:rFonts w:hint="eastAsia" w:ascii="黑体" w:hAnsi="等线" w:eastAsia="黑体"/>
        <w:b w:val="0"/>
        <w:i w:val="0"/>
        <w:sz w:val="21"/>
      </w:rPr>
    </w:lvl>
    <w:lvl w:ilvl="5" w:tentative="0">
      <w:start w:val="1"/>
      <w:numFmt w:val="decimal"/>
      <w:pStyle w:val="205"/>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4"/>
  </w:num>
  <w:num w:numId="4">
    <w:abstractNumId w:val="25"/>
  </w:num>
  <w:num w:numId="5">
    <w:abstractNumId w:val="20"/>
  </w:num>
  <w:num w:numId="6">
    <w:abstractNumId w:val="14"/>
  </w:num>
  <w:num w:numId="7">
    <w:abstractNumId w:val="7"/>
  </w:num>
  <w:num w:numId="8">
    <w:abstractNumId w:val="16"/>
  </w:num>
  <w:num w:numId="9">
    <w:abstractNumId w:val="8"/>
  </w:num>
  <w:num w:numId="10">
    <w:abstractNumId w:val="18"/>
  </w:num>
  <w:num w:numId="11">
    <w:abstractNumId w:val="27"/>
  </w:num>
  <w:num w:numId="12">
    <w:abstractNumId w:val="12"/>
  </w:num>
  <w:num w:numId="13">
    <w:abstractNumId w:val="13"/>
  </w:num>
  <w:num w:numId="14">
    <w:abstractNumId w:val="6"/>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0"/>
  </w:num>
  <w:num w:numId="22">
    <w:abstractNumId w:val="32"/>
  </w:num>
  <w:num w:numId="23">
    <w:abstractNumId w:val="22"/>
  </w:num>
  <w:num w:numId="24">
    <w:abstractNumId w:val="5"/>
  </w:num>
  <w:num w:numId="25">
    <w:abstractNumId w:val="28"/>
  </w:num>
  <w:num w:numId="26">
    <w:abstractNumId w:val="30"/>
  </w:num>
  <w:num w:numId="27">
    <w:abstractNumId w:val="2"/>
  </w:num>
  <w:num w:numId="28">
    <w:abstractNumId w:val="3"/>
  </w:num>
  <w:num w:numId="29">
    <w:abstractNumId w:val="15"/>
  </w:num>
  <w:num w:numId="30">
    <w:abstractNumId w:val="26"/>
  </w:num>
  <w:num w:numId="31">
    <w:abstractNumId w:val="24"/>
  </w:num>
  <w:num w:numId="32">
    <w:abstractNumId w:val="11"/>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1"/>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Y2ZjMDA2OGU1MWU1MTNmZDM0NWQ3ZjliYWMwYmYifQ=="/>
  </w:docVars>
  <w:rsids>
    <w:rsidRoot w:val="00E93D6D"/>
    <w:rsid w:val="0000040A"/>
    <w:rsid w:val="00000A94"/>
    <w:rsid w:val="00000FCF"/>
    <w:rsid w:val="00001972"/>
    <w:rsid w:val="00001D9A"/>
    <w:rsid w:val="00003523"/>
    <w:rsid w:val="00007B3A"/>
    <w:rsid w:val="000107E0"/>
    <w:rsid w:val="00011FDE"/>
    <w:rsid w:val="00012FFD"/>
    <w:rsid w:val="00013695"/>
    <w:rsid w:val="00014162"/>
    <w:rsid w:val="00014340"/>
    <w:rsid w:val="00016A9C"/>
    <w:rsid w:val="00020895"/>
    <w:rsid w:val="00022184"/>
    <w:rsid w:val="000221B3"/>
    <w:rsid w:val="00022762"/>
    <w:rsid w:val="000238E0"/>
    <w:rsid w:val="000249DB"/>
    <w:rsid w:val="0002595E"/>
    <w:rsid w:val="00025FC9"/>
    <w:rsid w:val="000303C3"/>
    <w:rsid w:val="00030893"/>
    <w:rsid w:val="000331D3"/>
    <w:rsid w:val="000346A5"/>
    <w:rsid w:val="000359C3"/>
    <w:rsid w:val="00035A7D"/>
    <w:rsid w:val="000365CB"/>
    <w:rsid w:val="000365ED"/>
    <w:rsid w:val="0004249A"/>
    <w:rsid w:val="00043282"/>
    <w:rsid w:val="00044286"/>
    <w:rsid w:val="00045623"/>
    <w:rsid w:val="00045682"/>
    <w:rsid w:val="00047F28"/>
    <w:rsid w:val="000503AA"/>
    <w:rsid w:val="000506A1"/>
    <w:rsid w:val="000515DD"/>
    <w:rsid w:val="00051983"/>
    <w:rsid w:val="00052268"/>
    <w:rsid w:val="0005265A"/>
    <w:rsid w:val="000539DD"/>
    <w:rsid w:val="00053BD3"/>
    <w:rsid w:val="00053F1B"/>
    <w:rsid w:val="000556ED"/>
    <w:rsid w:val="00055FE2"/>
    <w:rsid w:val="0005616F"/>
    <w:rsid w:val="00060C2E"/>
    <w:rsid w:val="00061033"/>
    <w:rsid w:val="000619E9"/>
    <w:rsid w:val="000622D4"/>
    <w:rsid w:val="0006357D"/>
    <w:rsid w:val="00064EC9"/>
    <w:rsid w:val="00067B28"/>
    <w:rsid w:val="00067F1E"/>
    <w:rsid w:val="00071CC0"/>
    <w:rsid w:val="00073C8C"/>
    <w:rsid w:val="00077B64"/>
    <w:rsid w:val="00080A1C"/>
    <w:rsid w:val="00082317"/>
    <w:rsid w:val="00083D2C"/>
    <w:rsid w:val="00086AA1"/>
    <w:rsid w:val="0008741E"/>
    <w:rsid w:val="0008790D"/>
    <w:rsid w:val="00087A77"/>
    <w:rsid w:val="00090CA6"/>
    <w:rsid w:val="00091EE7"/>
    <w:rsid w:val="00092B8A"/>
    <w:rsid w:val="00092FB0"/>
    <w:rsid w:val="000934C5"/>
    <w:rsid w:val="00093D25"/>
    <w:rsid w:val="00093DAB"/>
    <w:rsid w:val="00094D73"/>
    <w:rsid w:val="00096D63"/>
    <w:rsid w:val="00097A38"/>
    <w:rsid w:val="000A0B60"/>
    <w:rsid w:val="000A0EB8"/>
    <w:rsid w:val="000A19FC"/>
    <w:rsid w:val="000A296B"/>
    <w:rsid w:val="000A3A69"/>
    <w:rsid w:val="000A7311"/>
    <w:rsid w:val="000A7AE7"/>
    <w:rsid w:val="000B060F"/>
    <w:rsid w:val="000B150D"/>
    <w:rsid w:val="000B1592"/>
    <w:rsid w:val="000B1CB0"/>
    <w:rsid w:val="000B1FF2"/>
    <w:rsid w:val="000B3CDA"/>
    <w:rsid w:val="000B6A0B"/>
    <w:rsid w:val="000C0F6C"/>
    <w:rsid w:val="000C11DB"/>
    <w:rsid w:val="000C1492"/>
    <w:rsid w:val="000C2060"/>
    <w:rsid w:val="000C2FBD"/>
    <w:rsid w:val="000C4B41"/>
    <w:rsid w:val="000C57D6"/>
    <w:rsid w:val="000C6362"/>
    <w:rsid w:val="000C7666"/>
    <w:rsid w:val="000D0A9C"/>
    <w:rsid w:val="000D1795"/>
    <w:rsid w:val="000D329A"/>
    <w:rsid w:val="000D4B9C"/>
    <w:rsid w:val="000D4EB6"/>
    <w:rsid w:val="000D4F86"/>
    <w:rsid w:val="000D753B"/>
    <w:rsid w:val="000E00D2"/>
    <w:rsid w:val="000E4C9E"/>
    <w:rsid w:val="000E6FD7"/>
    <w:rsid w:val="000F034E"/>
    <w:rsid w:val="000F06E1"/>
    <w:rsid w:val="000F0E0B"/>
    <w:rsid w:val="000F0E3C"/>
    <w:rsid w:val="000F19D5"/>
    <w:rsid w:val="000F3BDE"/>
    <w:rsid w:val="000F4AEA"/>
    <w:rsid w:val="000F5CCA"/>
    <w:rsid w:val="000F633F"/>
    <w:rsid w:val="000F67E9"/>
    <w:rsid w:val="00104926"/>
    <w:rsid w:val="00104C20"/>
    <w:rsid w:val="00111F13"/>
    <w:rsid w:val="0011288F"/>
    <w:rsid w:val="00113B1E"/>
    <w:rsid w:val="0011711C"/>
    <w:rsid w:val="0012059C"/>
    <w:rsid w:val="00124E4F"/>
    <w:rsid w:val="001260B7"/>
    <w:rsid w:val="001265CB"/>
    <w:rsid w:val="00127CB0"/>
    <w:rsid w:val="001321C6"/>
    <w:rsid w:val="001325C4"/>
    <w:rsid w:val="00133010"/>
    <w:rsid w:val="001338EE"/>
    <w:rsid w:val="00133AAE"/>
    <w:rsid w:val="00135323"/>
    <w:rsid w:val="001356C4"/>
    <w:rsid w:val="001379FB"/>
    <w:rsid w:val="00141114"/>
    <w:rsid w:val="00142969"/>
    <w:rsid w:val="0014390B"/>
    <w:rsid w:val="001446C2"/>
    <w:rsid w:val="001457E7"/>
    <w:rsid w:val="00145D9D"/>
    <w:rsid w:val="00146388"/>
    <w:rsid w:val="001529E5"/>
    <w:rsid w:val="00153C76"/>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CE4"/>
    <w:rsid w:val="00176DFD"/>
    <w:rsid w:val="001817EC"/>
    <w:rsid w:val="001832BA"/>
    <w:rsid w:val="001852C9"/>
    <w:rsid w:val="0018724B"/>
    <w:rsid w:val="00187EE8"/>
    <w:rsid w:val="00190087"/>
    <w:rsid w:val="001913C4"/>
    <w:rsid w:val="00191D3D"/>
    <w:rsid w:val="0019348F"/>
    <w:rsid w:val="00193A07"/>
    <w:rsid w:val="0019448D"/>
    <w:rsid w:val="00194C95"/>
    <w:rsid w:val="00195C34"/>
    <w:rsid w:val="00196EF5"/>
    <w:rsid w:val="001A1A53"/>
    <w:rsid w:val="001A234A"/>
    <w:rsid w:val="001A4642"/>
    <w:rsid w:val="001A4CF3"/>
    <w:rsid w:val="001B06E8"/>
    <w:rsid w:val="001B234C"/>
    <w:rsid w:val="001B71D0"/>
    <w:rsid w:val="001B71EE"/>
    <w:rsid w:val="001C04A8"/>
    <w:rsid w:val="001C172B"/>
    <w:rsid w:val="001C29A1"/>
    <w:rsid w:val="001C2C03"/>
    <w:rsid w:val="001C40AA"/>
    <w:rsid w:val="001C42F7"/>
    <w:rsid w:val="001C49E5"/>
    <w:rsid w:val="001C680C"/>
    <w:rsid w:val="001C7FEA"/>
    <w:rsid w:val="001D0499"/>
    <w:rsid w:val="001D0BBE"/>
    <w:rsid w:val="001D0ED4"/>
    <w:rsid w:val="001D212F"/>
    <w:rsid w:val="001D29D7"/>
    <w:rsid w:val="001D2DE7"/>
    <w:rsid w:val="001D411C"/>
    <w:rsid w:val="001D496C"/>
    <w:rsid w:val="001D5992"/>
    <w:rsid w:val="001E1B6A"/>
    <w:rsid w:val="001E2484"/>
    <w:rsid w:val="001E2EFC"/>
    <w:rsid w:val="001E3419"/>
    <w:rsid w:val="001E3CC4"/>
    <w:rsid w:val="001E4882"/>
    <w:rsid w:val="001E73AB"/>
    <w:rsid w:val="001F092D"/>
    <w:rsid w:val="001F143A"/>
    <w:rsid w:val="001F1605"/>
    <w:rsid w:val="001F2508"/>
    <w:rsid w:val="001F3A5D"/>
    <w:rsid w:val="001F4816"/>
    <w:rsid w:val="001F4EE9"/>
    <w:rsid w:val="001F613F"/>
    <w:rsid w:val="001F69B4"/>
    <w:rsid w:val="001F77C7"/>
    <w:rsid w:val="00200183"/>
    <w:rsid w:val="00200333"/>
    <w:rsid w:val="0020107D"/>
    <w:rsid w:val="00202AA4"/>
    <w:rsid w:val="002031F7"/>
    <w:rsid w:val="002040E6"/>
    <w:rsid w:val="0020527B"/>
    <w:rsid w:val="0020598D"/>
    <w:rsid w:val="00205F2C"/>
    <w:rsid w:val="00210B15"/>
    <w:rsid w:val="00213653"/>
    <w:rsid w:val="002142EA"/>
    <w:rsid w:val="002204BB"/>
    <w:rsid w:val="00220CB1"/>
    <w:rsid w:val="00221B79"/>
    <w:rsid w:val="00221C6B"/>
    <w:rsid w:val="002253A1"/>
    <w:rsid w:val="00225CF8"/>
    <w:rsid w:val="00226338"/>
    <w:rsid w:val="0022794E"/>
    <w:rsid w:val="00233D64"/>
    <w:rsid w:val="0023482A"/>
    <w:rsid w:val="00235398"/>
    <w:rsid w:val="002359CB"/>
    <w:rsid w:val="00240EF5"/>
    <w:rsid w:val="002431D8"/>
    <w:rsid w:val="00243540"/>
    <w:rsid w:val="0024497B"/>
    <w:rsid w:val="0024515B"/>
    <w:rsid w:val="00246021"/>
    <w:rsid w:val="0024666E"/>
    <w:rsid w:val="00247F52"/>
    <w:rsid w:val="00250B25"/>
    <w:rsid w:val="00250B78"/>
    <w:rsid w:val="00250BBE"/>
    <w:rsid w:val="002515C2"/>
    <w:rsid w:val="0025194F"/>
    <w:rsid w:val="00251AA8"/>
    <w:rsid w:val="00260880"/>
    <w:rsid w:val="0026148A"/>
    <w:rsid w:val="00262696"/>
    <w:rsid w:val="00263D25"/>
    <w:rsid w:val="002643C3"/>
    <w:rsid w:val="00264A0C"/>
    <w:rsid w:val="00266EEB"/>
    <w:rsid w:val="00267EF4"/>
    <w:rsid w:val="00270CB8"/>
    <w:rsid w:val="00272B08"/>
    <w:rsid w:val="00275F32"/>
    <w:rsid w:val="00281BB8"/>
    <w:rsid w:val="00281E9E"/>
    <w:rsid w:val="00282405"/>
    <w:rsid w:val="00282A78"/>
    <w:rsid w:val="00285170"/>
    <w:rsid w:val="00285361"/>
    <w:rsid w:val="00286277"/>
    <w:rsid w:val="00286E2E"/>
    <w:rsid w:val="00292D60"/>
    <w:rsid w:val="00292F2F"/>
    <w:rsid w:val="00293B30"/>
    <w:rsid w:val="00294D34"/>
    <w:rsid w:val="00294E3B"/>
    <w:rsid w:val="00296193"/>
    <w:rsid w:val="00296C66"/>
    <w:rsid w:val="00296EBE"/>
    <w:rsid w:val="002974E3"/>
    <w:rsid w:val="002A084B"/>
    <w:rsid w:val="002A10AB"/>
    <w:rsid w:val="002A1260"/>
    <w:rsid w:val="002A1589"/>
    <w:rsid w:val="002A1608"/>
    <w:rsid w:val="002A25DC"/>
    <w:rsid w:val="002A3AAB"/>
    <w:rsid w:val="002A4CEA"/>
    <w:rsid w:val="002A5977"/>
    <w:rsid w:val="002A5A13"/>
    <w:rsid w:val="002A6A49"/>
    <w:rsid w:val="002A757F"/>
    <w:rsid w:val="002A7C46"/>
    <w:rsid w:val="002A7F44"/>
    <w:rsid w:val="002B0C40"/>
    <w:rsid w:val="002B1966"/>
    <w:rsid w:val="002B396B"/>
    <w:rsid w:val="002B4508"/>
    <w:rsid w:val="002B5779"/>
    <w:rsid w:val="002B706D"/>
    <w:rsid w:val="002B7332"/>
    <w:rsid w:val="002B7A5A"/>
    <w:rsid w:val="002B7F51"/>
    <w:rsid w:val="002C09E7"/>
    <w:rsid w:val="002C1E06"/>
    <w:rsid w:val="002C1E1C"/>
    <w:rsid w:val="002C307D"/>
    <w:rsid w:val="002C3F07"/>
    <w:rsid w:val="002C4A1E"/>
    <w:rsid w:val="002C5278"/>
    <w:rsid w:val="002C66ED"/>
    <w:rsid w:val="002C7EBB"/>
    <w:rsid w:val="002D06C1"/>
    <w:rsid w:val="002D2EED"/>
    <w:rsid w:val="002D42B5"/>
    <w:rsid w:val="002D42D2"/>
    <w:rsid w:val="002D4E8F"/>
    <w:rsid w:val="002D4F1A"/>
    <w:rsid w:val="002D6EC6"/>
    <w:rsid w:val="002D79AC"/>
    <w:rsid w:val="002E039D"/>
    <w:rsid w:val="002E4D5A"/>
    <w:rsid w:val="002E6326"/>
    <w:rsid w:val="002F30E0"/>
    <w:rsid w:val="002F35E4"/>
    <w:rsid w:val="002F3730"/>
    <w:rsid w:val="002F38E1"/>
    <w:rsid w:val="002F6D22"/>
    <w:rsid w:val="002F7229"/>
    <w:rsid w:val="002F7AF6"/>
    <w:rsid w:val="00300E63"/>
    <w:rsid w:val="00302F5F"/>
    <w:rsid w:val="0030441D"/>
    <w:rsid w:val="00306063"/>
    <w:rsid w:val="00306B63"/>
    <w:rsid w:val="00307591"/>
    <w:rsid w:val="00312E18"/>
    <w:rsid w:val="00313B85"/>
    <w:rsid w:val="003146CF"/>
    <w:rsid w:val="003152CB"/>
    <w:rsid w:val="00315FC6"/>
    <w:rsid w:val="00316C35"/>
    <w:rsid w:val="00317988"/>
    <w:rsid w:val="003221B4"/>
    <w:rsid w:val="0032258D"/>
    <w:rsid w:val="00322E62"/>
    <w:rsid w:val="00324575"/>
    <w:rsid w:val="00324D13"/>
    <w:rsid w:val="00324D2A"/>
    <w:rsid w:val="00324EDD"/>
    <w:rsid w:val="003331E4"/>
    <w:rsid w:val="00333C9C"/>
    <w:rsid w:val="00336C64"/>
    <w:rsid w:val="00337162"/>
    <w:rsid w:val="0034194F"/>
    <w:rsid w:val="00344605"/>
    <w:rsid w:val="003474AA"/>
    <w:rsid w:val="00350D1D"/>
    <w:rsid w:val="00352C83"/>
    <w:rsid w:val="003615D2"/>
    <w:rsid w:val="0036261C"/>
    <w:rsid w:val="0036429C"/>
    <w:rsid w:val="003648DE"/>
    <w:rsid w:val="00364A53"/>
    <w:rsid w:val="003654CB"/>
    <w:rsid w:val="00365AA9"/>
    <w:rsid w:val="00365F86"/>
    <w:rsid w:val="00365F87"/>
    <w:rsid w:val="00366909"/>
    <w:rsid w:val="00366E89"/>
    <w:rsid w:val="003705F4"/>
    <w:rsid w:val="00370D58"/>
    <w:rsid w:val="00371316"/>
    <w:rsid w:val="0037437C"/>
    <w:rsid w:val="00376713"/>
    <w:rsid w:val="003808C3"/>
    <w:rsid w:val="00381815"/>
    <w:rsid w:val="003819AF"/>
    <w:rsid w:val="003820E9"/>
    <w:rsid w:val="00382DE7"/>
    <w:rsid w:val="0038372A"/>
    <w:rsid w:val="00384FFC"/>
    <w:rsid w:val="003872FC"/>
    <w:rsid w:val="00387ADC"/>
    <w:rsid w:val="00390020"/>
    <w:rsid w:val="003903D6"/>
    <w:rsid w:val="00390EE6"/>
    <w:rsid w:val="0039118F"/>
    <w:rsid w:val="00392AD7"/>
    <w:rsid w:val="003938D9"/>
    <w:rsid w:val="00393F16"/>
    <w:rsid w:val="00394376"/>
    <w:rsid w:val="003943FF"/>
    <w:rsid w:val="00395700"/>
    <w:rsid w:val="003974EB"/>
    <w:rsid w:val="003979A0"/>
    <w:rsid w:val="00397CC5"/>
    <w:rsid w:val="003A1582"/>
    <w:rsid w:val="003A4077"/>
    <w:rsid w:val="003A451C"/>
    <w:rsid w:val="003B09AD"/>
    <w:rsid w:val="003B1F18"/>
    <w:rsid w:val="003B5BF0"/>
    <w:rsid w:val="003B60BF"/>
    <w:rsid w:val="003B6BE3"/>
    <w:rsid w:val="003C010C"/>
    <w:rsid w:val="003C0A6C"/>
    <w:rsid w:val="003C11D7"/>
    <w:rsid w:val="003C14F8"/>
    <w:rsid w:val="003C5A43"/>
    <w:rsid w:val="003C6177"/>
    <w:rsid w:val="003C706D"/>
    <w:rsid w:val="003D0519"/>
    <w:rsid w:val="003D0E46"/>
    <w:rsid w:val="003D0FF6"/>
    <w:rsid w:val="003D2519"/>
    <w:rsid w:val="003D262C"/>
    <w:rsid w:val="003D6A68"/>
    <w:rsid w:val="003D6D61"/>
    <w:rsid w:val="003E091D"/>
    <w:rsid w:val="003E1C53"/>
    <w:rsid w:val="003E2A69"/>
    <w:rsid w:val="003E2D49"/>
    <w:rsid w:val="003E2FD4"/>
    <w:rsid w:val="003E49F6"/>
    <w:rsid w:val="003E4BB9"/>
    <w:rsid w:val="003E5613"/>
    <w:rsid w:val="003E660F"/>
    <w:rsid w:val="003F0380"/>
    <w:rsid w:val="003F0841"/>
    <w:rsid w:val="003F23D3"/>
    <w:rsid w:val="003F34C3"/>
    <w:rsid w:val="003F3667"/>
    <w:rsid w:val="003F3F08"/>
    <w:rsid w:val="003F49F1"/>
    <w:rsid w:val="003F6272"/>
    <w:rsid w:val="00400E72"/>
    <w:rsid w:val="004012AD"/>
    <w:rsid w:val="00401400"/>
    <w:rsid w:val="00403592"/>
    <w:rsid w:val="00404869"/>
    <w:rsid w:val="00405884"/>
    <w:rsid w:val="00407D39"/>
    <w:rsid w:val="00413086"/>
    <w:rsid w:val="004131F2"/>
    <w:rsid w:val="0041477A"/>
    <w:rsid w:val="004167A3"/>
    <w:rsid w:val="004168BA"/>
    <w:rsid w:val="00416FA3"/>
    <w:rsid w:val="0042080F"/>
    <w:rsid w:val="00424097"/>
    <w:rsid w:val="00425888"/>
    <w:rsid w:val="00432DAA"/>
    <w:rsid w:val="00434305"/>
    <w:rsid w:val="00435DF7"/>
    <w:rsid w:val="0044083F"/>
    <w:rsid w:val="00441AE7"/>
    <w:rsid w:val="0044275C"/>
    <w:rsid w:val="00443B26"/>
    <w:rsid w:val="00445574"/>
    <w:rsid w:val="00446425"/>
    <w:rsid w:val="004467FB"/>
    <w:rsid w:val="00447694"/>
    <w:rsid w:val="004507C2"/>
    <w:rsid w:val="00451825"/>
    <w:rsid w:val="00452D6B"/>
    <w:rsid w:val="00454484"/>
    <w:rsid w:val="0045517B"/>
    <w:rsid w:val="00456A2F"/>
    <w:rsid w:val="004614D8"/>
    <w:rsid w:val="00463B77"/>
    <w:rsid w:val="00463C7B"/>
    <w:rsid w:val="004644A6"/>
    <w:rsid w:val="004659BD"/>
    <w:rsid w:val="00470775"/>
    <w:rsid w:val="00472FEA"/>
    <w:rsid w:val="0047452C"/>
    <w:rsid w:val="004746B1"/>
    <w:rsid w:val="0047583F"/>
    <w:rsid w:val="00475DE8"/>
    <w:rsid w:val="00481C3D"/>
    <w:rsid w:val="00481C44"/>
    <w:rsid w:val="004821DE"/>
    <w:rsid w:val="00484936"/>
    <w:rsid w:val="00485595"/>
    <w:rsid w:val="00485C89"/>
    <w:rsid w:val="00486491"/>
    <w:rsid w:val="00486BE3"/>
    <w:rsid w:val="004905E4"/>
    <w:rsid w:val="00490A89"/>
    <w:rsid w:val="00490AB4"/>
    <w:rsid w:val="00492F02"/>
    <w:rsid w:val="004939AE"/>
    <w:rsid w:val="0049562C"/>
    <w:rsid w:val="0049641B"/>
    <w:rsid w:val="004A12DF"/>
    <w:rsid w:val="004A17E6"/>
    <w:rsid w:val="004A1BA8"/>
    <w:rsid w:val="004A4B57"/>
    <w:rsid w:val="004A63FA"/>
    <w:rsid w:val="004B0272"/>
    <w:rsid w:val="004B086C"/>
    <w:rsid w:val="004B2701"/>
    <w:rsid w:val="004B2E1B"/>
    <w:rsid w:val="004B3AA8"/>
    <w:rsid w:val="004B3E93"/>
    <w:rsid w:val="004C1FBC"/>
    <w:rsid w:val="004C3F1D"/>
    <w:rsid w:val="004C458D"/>
    <w:rsid w:val="004C7556"/>
    <w:rsid w:val="004C7E8B"/>
    <w:rsid w:val="004C7E9D"/>
    <w:rsid w:val="004C7F67"/>
    <w:rsid w:val="004D01BE"/>
    <w:rsid w:val="004D076D"/>
    <w:rsid w:val="004D0EF1"/>
    <w:rsid w:val="004D2253"/>
    <w:rsid w:val="004D4406"/>
    <w:rsid w:val="004D7C42"/>
    <w:rsid w:val="004E0465"/>
    <w:rsid w:val="004E127B"/>
    <w:rsid w:val="004E1C0A"/>
    <w:rsid w:val="004E2B06"/>
    <w:rsid w:val="004E30C5"/>
    <w:rsid w:val="004E35DE"/>
    <w:rsid w:val="004E4AA5"/>
    <w:rsid w:val="004E4AEE"/>
    <w:rsid w:val="004E5841"/>
    <w:rsid w:val="004E59E3"/>
    <w:rsid w:val="004E67C0"/>
    <w:rsid w:val="004F0E62"/>
    <w:rsid w:val="004F32DB"/>
    <w:rsid w:val="004F391A"/>
    <w:rsid w:val="004F3CFB"/>
    <w:rsid w:val="004F47FB"/>
    <w:rsid w:val="004F6456"/>
    <w:rsid w:val="004F696E"/>
    <w:rsid w:val="004F6C71"/>
    <w:rsid w:val="004F7C8A"/>
    <w:rsid w:val="00501139"/>
    <w:rsid w:val="00501188"/>
    <w:rsid w:val="0050363E"/>
    <w:rsid w:val="005038DE"/>
    <w:rsid w:val="005039BC"/>
    <w:rsid w:val="005043BB"/>
    <w:rsid w:val="00504A3D"/>
    <w:rsid w:val="00505767"/>
    <w:rsid w:val="005067FF"/>
    <w:rsid w:val="005073F0"/>
    <w:rsid w:val="00510833"/>
    <w:rsid w:val="00510A7B"/>
    <w:rsid w:val="00512F6E"/>
    <w:rsid w:val="00513038"/>
    <w:rsid w:val="00514174"/>
    <w:rsid w:val="00516088"/>
    <w:rsid w:val="00516B0B"/>
    <w:rsid w:val="005220EC"/>
    <w:rsid w:val="00523F95"/>
    <w:rsid w:val="00524D65"/>
    <w:rsid w:val="005258CD"/>
    <w:rsid w:val="00525B16"/>
    <w:rsid w:val="005279ED"/>
    <w:rsid w:val="00531988"/>
    <w:rsid w:val="00533D04"/>
    <w:rsid w:val="00534804"/>
    <w:rsid w:val="00534BDF"/>
    <w:rsid w:val="005354EA"/>
    <w:rsid w:val="0053585F"/>
    <w:rsid w:val="00535C61"/>
    <w:rsid w:val="00535EC4"/>
    <w:rsid w:val="00535ED9"/>
    <w:rsid w:val="0053692B"/>
    <w:rsid w:val="00541853"/>
    <w:rsid w:val="00543BDA"/>
    <w:rsid w:val="005441CC"/>
    <w:rsid w:val="00545908"/>
    <w:rsid w:val="005479DA"/>
    <w:rsid w:val="00547BCC"/>
    <w:rsid w:val="0055013B"/>
    <w:rsid w:val="00551F6F"/>
    <w:rsid w:val="00555044"/>
    <w:rsid w:val="00555046"/>
    <w:rsid w:val="00555C8E"/>
    <w:rsid w:val="00557621"/>
    <w:rsid w:val="005600C9"/>
    <w:rsid w:val="00561475"/>
    <w:rsid w:val="0056318A"/>
    <w:rsid w:val="0056487B"/>
    <w:rsid w:val="00564FB9"/>
    <w:rsid w:val="005667CE"/>
    <w:rsid w:val="00573D9E"/>
    <w:rsid w:val="005801E3"/>
    <w:rsid w:val="00581802"/>
    <w:rsid w:val="005836A8"/>
    <w:rsid w:val="0058409C"/>
    <w:rsid w:val="00584262"/>
    <w:rsid w:val="0058446E"/>
    <w:rsid w:val="00586630"/>
    <w:rsid w:val="00587ADD"/>
    <w:rsid w:val="00591E27"/>
    <w:rsid w:val="00593C20"/>
    <w:rsid w:val="00594663"/>
    <w:rsid w:val="00596160"/>
    <w:rsid w:val="005966E2"/>
    <w:rsid w:val="00596A7E"/>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EE4"/>
    <w:rsid w:val="005C29B8"/>
    <w:rsid w:val="005C2BFA"/>
    <w:rsid w:val="005C5F21"/>
    <w:rsid w:val="005C7156"/>
    <w:rsid w:val="005D0C75"/>
    <w:rsid w:val="005D4171"/>
    <w:rsid w:val="005D50D6"/>
    <w:rsid w:val="005D6A95"/>
    <w:rsid w:val="005D6B2C"/>
    <w:rsid w:val="005D6D9C"/>
    <w:rsid w:val="005E22E7"/>
    <w:rsid w:val="005E2335"/>
    <w:rsid w:val="005E2C5A"/>
    <w:rsid w:val="005E34CA"/>
    <w:rsid w:val="005E3C18"/>
    <w:rsid w:val="005E6812"/>
    <w:rsid w:val="005E7881"/>
    <w:rsid w:val="005E78E0"/>
    <w:rsid w:val="005F0D9C"/>
    <w:rsid w:val="005F17A5"/>
    <w:rsid w:val="005F284E"/>
    <w:rsid w:val="005F4712"/>
    <w:rsid w:val="006010D1"/>
    <w:rsid w:val="006015CE"/>
    <w:rsid w:val="00604784"/>
    <w:rsid w:val="00606419"/>
    <w:rsid w:val="00607C7B"/>
    <w:rsid w:val="00607D29"/>
    <w:rsid w:val="00612952"/>
    <w:rsid w:val="006131E7"/>
    <w:rsid w:val="00614CC1"/>
    <w:rsid w:val="006156E1"/>
    <w:rsid w:val="00615A9D"/>
    <w:rsid w:val="00617387"/>
    <w:rsid w:val="006205D6"/>
    <w:rsid w:val="006238C5"/>
    <w:rsid w:val="006252D8"/>
    <w:rsid w:val="006259BC"/>
    <w:rsid w:val="0062636B"/>
    <w:rsid w:val="0063048C"/>
    <w:rsid w:val="00632182"/>
    <w:rsid w:val="00632AE0"/>
    <w:rsid w:val="00633C17"/>
    <w:rsid w:val="00634D9E"/>
    <w:rsid w:val="00635F3A"/>
    <w:rsid w:val="00636E3E"/>
    <w:rsid w:val="0063721F"/>
    <w:rsid w:val="006379F7"/>
    <w:rsid w:val="00637E4D"/>
    <w:rsid w:val="00640620"/>
    <w:rsid w:val="00641A1F"/>
    <w:rsid w:val="006435CB"/>
    <w:rsid w:val="00645904"/>
    <w:rsid w:val="00651ACB"/>
    <w:rsid w:val="00651C47"/>
    <w:rsid w:val="00652AB2"/>
    <w:rsid w:val="00653FED"/>
    <w:rsid w:val="00654EC0"/>
    <w:rsid w:val="0065525B"/>
    <w:rsid w:val="00655D4F"/>
    <w:rsid w:val="00656D29"/>
    <w:rsid w:val="00656DAE"/>
    <w:rsid w:val="006640E5"/>
    <w:rsid w:val="006646F1"/>
    <w:rsid w:val="00664929"/>
    <w:rsid w:val="00664DF8"/>
    <w:rsid w:val="00664F62"/>
    <w:rsid w:val="006655E1"/>
    <w:rsid w:val="00666342"/>
    <w:rsid w:val="00671DCC"/>
    <w:rsid w:val="00672060"/>
    <w:rsid w:val="006720D5"/>
    <w:rsid w:val="00672BFD"/>
    <w:rsid w:val="006733CD"/>
    <w:rsid w:val="0067409A"/>
    <w:rsid w:val="006770F4"/>
    <w:rsid w:val="00677A84"/>
    <w:rsid w:val="0068006C"/>
    <w:rsid w:val="0068026D"/>
    <w:rsid w:val="00680A27"/>
    <w:rsid w:val="006816A4"/>
    <w:rsid w:val="006819B8"/>
    <w:rsid w:val="006840A6"/>
    <w:rsid w:val="006850CD"/>
    <w:rsid w:val="00685AAB"/>
    <w:rsid w:val="00686482"/>
    <w:rsid w:val="006866CC"/>
    <w:rsid w:val="00686A62"/>
    <w:rsid w:val="00690699"/>
    <w:rsid w:val="00693C70"/>
    <w:rsid w:val="00695D22"/>
    <w:rsid w:val="00697516"/>
    <w:rsid w:val="006A07AA"/>
    <w:rsid w:val="006A25E5"/>
    <w:rsid w:val="006A2B46"/>
    <w:rsid w:val="006A336D"/>
    <w:rsid w:val="006A37B9"/>
    <w:rsid w:val="006A6C17"/>
    <w:rsid w:val="006B0546"/>
    <w:rsid w:val="006B0FEE"/>
    <w:rsid w:val="006B2672"/>
    <w:rsid w:val="006B36D8"/>
    <w:rsid w:val="006B54BF"/>
    <w:rsid w:val="006B5F44"/>
    <w:rsid w:val="006B5F90"/>
    <w:rsid w:val="006B62E4"/>
    <w:rsid w:val="006B710F"/>
    <w:rsid w:val="006C1BBA"/>
    <w:rsid w:val="006C2079"/>
    <w:rsid w:val="006C5A62"/>
    <w:rsid w:val="006C5CE8"/>
    <w:rsid w:val="006C5D68"/>
    <w:rsid w:val="006C6976"/>
    <w:rsid w:val="006C6DD0"/>
    <w:rsid w:val="006D04EA"/>
    <w:rsid w:val="006D16C4"/>
    <w:rsid w:val="006D1B90"/>
    <w:rsid w:val="006D3E96"/>
    <w:rsid w:val="006D4515"/>
    <w:rsid w:val="006D4BB1"/>
    <w:rsid w:val="006D6593"/>
    <w:rsid w:val="006D6F12"/>
    <w:rsid w:val="006E23EA"/>
    <w:rsid w:val="006E3D49"/>
    <w:rsid w:val="006E576D"/>
    <w:rsid w:val="006F02D9"/>
    <w:rsid w:val="006F03A8"/>
    <w:rsid w:val="006F2ACA"/>
    <w:rsid w:val="006F2ADC"/>
    <w:rsid w:val="006F2BFE"/>
    <w:rsid w:val="006F31E9"/>
    <w:rsid w:val="006F37C1"/>
    <w:rsid w:val="006F558F"/>
    <w:rsid w:val="006F6284"/>
    <w:rsid w:val="007002C5"/>
    <w:rsid w:val="00704387"/>
    <w:rsid w:val="00706529"/>
    <w:rsid w:val="00707669"/>
    <w:rsid w:val="00710A02"/>
    <w:rsid w:val="00711CBA"/>
    <w:rsid w:val="00711FB5"/>
    <w:rsid w:val="00712A01"/>
    <w:rsid w:val="00713DB2"/>
    <w:rsid w:val="00714F58"/>
    <w:rsid w:val="007167B3"/>
    <w:rsid w:val="00722FBF"/>
    <w:rsid w:val="00722FC2"/>
    <w:rsid w:val="00723822"/>
    <w:rsid w:val="0072404F"/>
    <w:rsid w:val="0072444B"/>
    <w:rsid w:val="00724879"/>
    <w:rsid w:val="00724B88"/>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84C"/>
    <w:rsid w:val="00750D61"/>
    <w:rsid w:val="00750EE1"/>
    <w:rsid w:val="00751458"/>
    <w:rsid w:val="00751FDE"/>
    <w:rsid w:val="00752B4D"/>
    <w:rsid w:val="00753183"/>
    <w:rsid w:val="00754AD4"/>
    <w:rsid w:val="00755402"/>
    <w:rsid w:val="00756B26"/>
    <w:rsid w:val="00756EDF"/>
    <w:rsid w:val="007600E3"/>
    <w:rsid w:val="007637EA"/>
    <w:rsid w:val="00763CAF"/>
    <w:rsid w:val="00765C43"/>
    <w:rsid w:val="00765EFB"/>
    <w:rsid w:val="007671CA"/>
    <w:rsid w:val="007676DA"/>
    <w:rsid w:val="00767C61"/>
    <w:rsid w:val="0077008A"/>
    <w:rsid w:val="00773C1F"/>
    <w:rsid w:val="00774DA4"/>
    <w:rsid w:val="00776599"/>
    <w:rsid w:val="0078114B"/>
    <w:rsid w:val="0078166D"/>
    <w:rsid w:val="00781DD2"/>
    <w:rsid w:val="00783ECF"/>
    <w:rsid w:val="0078413A"/>
    <w:rsid w:val="007846F7"/>
    <w:rsid w:val="00784C95"/>
    <w:rsid w:val="00785B64"/>
    <w:rsid w:val="00790B35"/>
    <w:rsid w:val="00794FE8"/>
    <w:rsid w:val="007959E8"/>
    <w:rsid w:val="00795E9C"/>
    <w:rsid w:val="007A0521"/>
    <w:rsid w:val="007A2E12"/>
    <w:rsid w:val="007A3144"/>
    <w:rsid w:val="007A3475"/>
    <w:rsid w:val="007A41C8"/>
    <w:rsid w:val="007A54CE"/>
    <w:rsid w:val="007A6FD9"/>
    <w:rsid w:val="007A7FFA"/>
    <w:rsid w:val="007B04EB"/>
    <w:rsid w:val="007B0B3B"/>
    <w:rsid w:val="007B0D4F"/>
    <w:rsid w:val="007B5A3D"/>
    <w:rsid w:val="007B5B95"/>
    <w:rsid w:val="007B68EA"/>
    <w:rsid w:val="007B7453"/>
    <w:rsid w:val="007C1CEC"/>
    <w:rsid w:val="007C1E8B"/>
    <w:rsid w:val="007C2D89"/>
    <w:rsid w:val="007C4593"/>
    <w:rsid w:val="007C5309"/>
    <w:rsid w:val="007C6069"/>
    <w:rsid w:val="007D06C4"/>
    <w:rsid w:val="007D1352"/>
    <w:rsid w:val="007D1FBA"/>
    <w:rsid w:val="007D2508"/>
    <w:rsid w:val="007D346A"/>
    <w:rsid w:val="007D3A00"/>
    <w:rsid w:val="007D3F84"/>
    <w:rsid w:val="007D5A93"/>
    <w:rsid w:val="007D6518"/>
    <w:rsid w:val="007D6CF7"/>
    <w:rsid w:val="007D76BD"/>
    <w:rsid w:val="007E0BF1"/>
    <w:rsid w:val="007E0F7A"/>
    <w:rsid w:val="007E1D4F"/>
    <w:rsid w:val="007E4A12"/>
    <w:rsid w:val="007E581D"/>
    <w:rsid w:val="007E6F3F"/>
    <w:rsid w:val="007F0ED8"/>
    <w:rsid w:val="007F0F63"/>
    <w:rsid w:val="007F75CE"/>
    <w:rsid w:val="007F799A"/>
    <w:rsid w:val="008013A4"/>
    <w:rsid w:val="008027CE"/>
    <w:rsid w:val="00802F42"/>
    <w:rsid w:val="00804383"/>
    <w:rsid w:val="008046CC"/>
    <w:rsid w:val="00804BB7"/>
    <w:rsid w:val="00804D41"/>
    <w:rsid w:val="00810257"/>
    <w:rsid w:val="008104F5"/>
    <w:rsid w:val="00811072"/>
    <w:rsid w:val="00811369"/>
    <w:rsid w:val="00815419"/>
    <w:rsid w:val="008163C8"/>
    <w:rsid w:val="008164A1"/>
    <w:rsid w:val="00817325"/>
    <w:rsid w:val="008209E6"/>
    <w:rsid w:val="008215DB"/>
    <w:rsid w:val="00823303"/>
    <w:rsid w:val="008233B2"/>
    <w:rsid w:val="00823A9F"/>
    <w:rsid w:val="00823C85"/>
    <w:rsid w:val="00825138"/>
    <w:rsid w:val="00825F5C"/>
    <w:rsid w:val="008269DD"/>
    <w:rsid w:val="00830621"/>
    <w:rsid w:val="0083348C"/>
    <w:rsid w:val="008342C9"/>
    <w:rsid w:val="008373D3"/>
    <w:rsid w:val="00840617"/>
    <w:rsid w:val="00840F84"/>
    <w:rsid w:val="00842A47"/>
    <w:rsid w:val="00843891"/>
    <w:rsid w:val="00843C13"/>
    <w:rsid w:val="008454F8"/>
    <w:rsid w:val="00847F1A"/>
    <w:rsid w:val="008504EA"/>
    <w:rsid w:val="0085173A"/>
    <w:rsid w:val="00853D47"/>
    <w:rsid w:val="00856141"/>
    <w:rsid w:val="00856316"/>
    <w:rsid w:val="00856355"/>
    <w:rsid w:val="008603CE"/>
    <w:rsid w:val="008620FC"/>
    <w:rsid w:val="008627A5"/>
    <w:rsid w:val="00863D3E"/>
    <w:rsid w:val="00863E05"/>
    <w:rsid w:val="00865ACA"/>
    <w:rsid w:val="00865D28"/>
    <w:rsid w:val="00865F85"/>
    <w:rsid w:val="00866444"/>
    <w:rsid w:val="008665F9"/>
    <w:rsid w:val="00867C10"/>
    <w:rsid w:val="00870439"/>
    <w:rsid w:val="00870DA1"/>
    <w:rsid w:val="00877A3F"/>
    <w:rsid w:val="0088011C"/>
    <w:rsid w:val="00883F93"/>
    <w:rsid w:val="008846E5"/>
    <w:rsid w:val="00884DB3"/>
    <w:rsid w:val="00885A9D"/>
    <w:rsid w:val="008864F6"/>
    <w:rsid w:val="0089049D"/>
    <w:rsid w:val="0089158D"/>
    <w:rsid w:val="00892056"/>
    <w:rsid w:val="008928C9"/>
    <w:rsid w:val="008930CB"/>
    <w:rsid w:val="008938DC"/>
    <w:rsid w:val="00893FD1"/>
    <w:rsid w:val="00894836"/>
    <w:rsid w:val="00894D14"/>
    <w:rsid w:val="00895172"/>
    <w:rsid w:val="00895680"/>
    <w:rsid w:val="00896DFF"/>
    <w:rsid w:val="0089762C"/>
    <w:rsid w:val="008A1893"/>
    <w:rsid w:val="008A3215"/>
    <w:rsid w:val="008A4787"/>
    <w:rsid w:val="008A4852"/>
    <w:rsid w:val="008A54B1"/>
    <w:rsid w:val="008A57E6"/>
    <w:rsid w:val="008A6C6B"/>
    <w:rsid w:val="008A6F81"/>
    <w:rsid w:val="008A72A0"/>
    <w:rsid w:val="008A769A"/>
    <w:rsid w:val="008B0C9C"/>
    <w:rsid w:val="008B166D"/>
    <w:rsid w:val="008B17F4"/>
    <w:rsid w:val="008B3615"/>
    <w:rsid w:val="008B460C"/>
    <w:rsid w:val="008B4AC4"/>
    <w:rsid w:val="008B50C8"/>
    <w:rsid w:val="008B5281"/>
    <w:rsid w:val="008B7E05"/>
    <w:rsid w:val="008C1797"/>
    <w:rsid w:val="008C219C"/>
    <w:rsid w:val="008C475E"/>
    <w:rsid w:val="008C619A"/>
    <w:rsid w:val="008C7C7C"/>
    <w:rsid w:val="008D0CE8"/>
    <w:rsid w:val="008D2D1D"/>
    <w:rsid w:val="008D374C"/>
    <w:rsid w:val="008D453D"/>
    <w:rsid w:val="008D53AD"/>
    <w:rsid w:val="008D562B"/>
    <w:rsid w:val="008D5733"/>
    <w:rsid w:val="008D622B"/>
    <w:rsid w:val="008D666C"/>
    <w:rsid w:val="008D7B54"/>
    <w:rsid w:val="008E0C9D"/>
    <w:rsid w:val="008E1648"/>
    <w:rsid w:val="008E1B3E"/>
    <w:rsid w:val="008E2264"/>
    <w:rsid w:val="008E2319"/>
    <w:rsid w:val="008E4BB6"/>
    <w:rsid w:val="008E5518"/>
    <w:rsid w:val="008E67AB"/>
    <w:rsid w:val="008E6A84"/>
    <w:rsid w:val="008F0CDC"/>
    <w:rsid w:val="008F17A3"/>
    <w:rsid w:val="008F1ED3"/>
    <w:rsid w:val="008F23A5"/>
    <w:rsid w:val="008F4C29"/>
    <w:rsid w:val="008F5E49"/>
    <w:rsid w:val="008F70BD"/>
    <w:rsid w:val="008F788F"/>
    <w:rsid w:val="008F78FB"/>
    <w:rsid w:val="008F7E33"/>
    <w:rsid w:val="008F7EA2"/>
    <w:rsid w:val="00901AB5"/>
    <w:rsid w:val="00902722"/>
    <w:rsid w:val="009027BC"/>
    <w:rsid w:val="00902BD7"/>
    <w:rsid w:val="009062E6"/>
    <w:rsid w:val="00906C60"/>
    <w:rsid w:val="00907C96"/>
    <w:rsid w:val="00911BE5"/>
    <w:rsid w:val="00912F39"/>
    <w:rsid w:val="00913CA9"/>
    <w:rsid w:val="009145AE"/>
    <w:rsid w:val="009146CE"/>
    <w:rsid w:val="00914CA7"/>
    <w:rsid w:val="00914D4F"/>
    <w:rsid w:val="00915C3E"/>
    <w:rsid w:val="009161A8"/>
    <w:rsid w:val="00923CCA"/>
    <w:rsid w:val="009245F5"/>
    <w:rsid w:val="009249EC"/>
    <w:rsid w:val="009273B3"/>
    <w:rsid w:val="009305B5"/>
    <w:rsid w:val="009350E7"/>
    <w:rsid w:val="009372F0"/>
    <w:rsid w:val="009429D5"/>
    <w:rsid w:val="00942BF1"/>
    <w:rsid w:val="009440AF"/>
    <w:rsid w:val="00945180"/>
    <w:rsid w:val="00945428"/>
    <w:rsid w:val="0094607B"/>
    <w:rsid w:val="009469E8"/>
    <w:rsid w:val="00947F19"/>
    <w:rsid w:val="00953604"/>
    <w:rsid w:val="0095496B"/>
    <w:rsid w:val="0096018B"/>
    <w:rsid w:val="009610DC"/>
    <w:rsid w:val="00961490"/>
    <w:rsid w:val="00962E30"/>
    <w:rsid w:val="0096381A"/>
    <w:rsid w:val="00965E04"/>
    <w:rsid w:val="009674AD"/>
    <w:rsid w:val="00970CDC"/>
    <w:rsid w:val="0097221A"/>
    <w:rsid w:val="00977010"/>
    <w:rsid w:val="00977D02"/>
    <w:rsid w:val="009809BB"/>
    <w:rsid w:val="009810E2"/>
    <w:rsid w:val="0098364B"/>
    <w:rsid w:val="00984B4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0F68"/>
    <w:rsid w:val="009B1247"/>
    <w:rsid w:val="009B6029"/>
    <w:rsid w:val="009B6971"/>
    <w:rsid w:val="009C27F1"/>
    <w:rsid w:val="009C3152"/>
    <w:rsid w:val="009C46B7"/>
    <w:rsid w:val="009C4CFA"/>
    <w:rsid w:val="009C5070"/>
    <w:rsid w:val="009C6E25"/>
    <w:rsid w:val="009D112C"/>
    <w:rsid w:val="009D47FA"/>
    <w:rsid w:val="009D4C5B"/>
    <w:rsid w:val="009D50D2"/>
    <w:rsid w:val="009D54B6"/>
    <w:rsid w:val="009D61A9"/>
    <w:rsid w:val="009D6B0D"/>
    <w:rsid w:val="009D6BCA"/>
    <w:rsid w:val="009E0F62"/>
    <w:rsid w:val="009E1727"/>
    <w:rsid w:val="009E4A58"/>
    <w:rsid w:val="009E5A2D"/>
    <w:rsid w:val="009E5AB2"/>
    <w:rsid w:val="009E6219"/>
    <w:rsid w:val="009F03B3"/>
    <w:rsid w:val="009F2DBF"/>
    <w:rsid w:val="009F7AA0"/>
    <w:rsid w:val="00A0096C"/>
    <w:rsid w:val="00A01757"/>
    <w:rsid w:val="00A028C0"/>
    <w:rsid w:val="00A02BAE"/>
    <w:rsid w:val="00A061E0"/>
    <w:rsid w:val="00A0661A"/>
    <w:rsid w:val="00A06A6B"/>
    <w:rsid w:val="00A0702D"/>
    <w:rsid w:val="00A07E47"/>
    <w:rsid w:val="00A129D0"/>
    <w:rsid w:val="00A12C33"/>
    <w:rsid w:val="00A138BA"/>
    <w:rsid w:val="00A1449C"/>
    <w:rsid w:val="00A14C8E"/>
    <w:rsid w:val="00A153D9"/>
    <w:rsid w:val="00A15F09"/>
    <w:rsid w:val="00A169B6"/>
    <w:rsid w:val="00A2271D"/>
    <w:rsid w:val="00A232E7"/>
    <w:rsid w:val="00A237D5"/>
    <w:rsid w:val="00A30EFC"/>
    <w:rsid w:val="00A31984"/>
    <w:rsid w:val="00A32AF1"/>
    <w:rsid w:val="00A32D73"/>
    <w:rsid w:val="00A3367B"/>
    <w:rsid w:val="00A34E36"/>
    <w:rsid w:val="00A3597D"/>
    <w:rsid w:val="00A36DD1"/>
    <w:rsid w:val="00A37536"/>
    <w:rsid w:val="00A4006C"/>
    <w:rsid w:val="00A40091"/>
    <w:rsid w:val="00A4030F"/>
    <w:rsid w:val="00A41C79"/>
    <w:rsid w:val="00A41CB5"/>
    <w:rsid w:val="00A42025"/>
    <w:rsid w:val="00A42CDF"/>
    <w:rsid w:val="00A4452E"/>
    <w:rsid w:val="00A4472C"/>
    <w:rsid w:val="00A44E69"/>
    <w:rsid w:val="00A46467"/>
    <w:rsid w:val="00A4661E"/>
    <w:rsid w:val="00A47DB4"/>
    <w:rsid w:val="00A47E93"/>
    <w:rsid w:val="00A55BD6"/>
    <w:rsid w:val="00A55D50"/>
    <w:rsid w:val="00A57142"/>
    <w:rsid w:val="00A614F2"/>
    <w:rsid w:val="00A648CD"/>
    <w:rsid w:val="00A6537A"/>
    <w:rsid w:val="00A677E4"/>
    <w:rsid w:val="00A67866"/>
    <w:rsid w:val="00A705E1"/>
    <w:rsid w:val="00A70B07"/>
    <w:rsid w:val="00A71F78"/>
    <w:rsid w:val="00A723F8"/>
    <w:rsid w:val="00A747A3"/>
    <w:rsid w:val="00A76C77"/>
    <w:rsid w:val="00A77CCB"/>
    <w:rsid w:val="00A8124D"/>
    <w:rsid w:val="00A83D8D"/>
    <w:rsid w:val="00A8446B"/>
    <w:rsid w:val="00A8473F"/>
    <w:rsid w:val="00A85C03"/>
    <w:rsid w:val="00A862D6"/>
    <w:rsid w:val="00A8715E"/>
    <w:rsid w:val="00A9295B"/>
    <w:rsid w:val="00A93B09"/>
    <w:rsid w:val="00A93CCF"/>
    <w:rsid w:val="00A94247"/>
    <w:rsid w:val="00A952D7"/>
    <w:rsid w:val="00A963F7"/>
    <w:rsid w:val="00A96AD8"/>
    <w:rsid w:val="00AA052C"/>
    <w:rsid w:val="00AA1E45"/>
    <w:rsid w:val="00AA257D"/>
    <w:rsid w:val="00AA4286"/>
    <w:rsid w:val="00AA456B"/>
    <w:rsid w:val="00AA57F5"/>
    <w:rsid w:val="00AA672E"/>
    <w:rsid w:val="00AA6EC9"/>
    <w:rsid w:val="00AA7176"/>
    <w:rsid w:val="00AB1568"/>
    <w:rsid w:val="00AB1724"/>
    <w:rsid w:val="00AB41D5"/>
    <w:rsid w:val="00AB6309"/>
    <w:rsid w:val="00AB6C5F"/>
    <w:rsid w:val="00AB7129"/>
    <w:rsid w:val="00AC27A6"/>
    <w:rsid w:val="00AC30F7"/>
    <w:rsid w:val="00AC3A5A"/>
    <w:rsid w:val="00AC4D95"/>
    <w:rsid w:val="00AC5B86"/>
    <w:rsid w:val="00AC5DF4"/>
    <w:rsid w:val="00AC7D73"/>
    <w:rsid w:val="00AD0AEF"/>
    <w:rsid w:val="00AD11B7"/>
    <w:rsid w:val="00AD1A23"/>
    <w:rsid w:val="00AD1A94"/>
    <w:rsid w:val="00AD1C05"/>
    <w:rsid w:val="00AD1F89"/>
    <w:rsid w:val="00AD4126"/>
    <w:rsid w:val="00AD421C"/>
    <w:rsid w:val="00AD44FA"/>
    <w:rsid w:val="00AD6BC7"/>
    <w:rsid w:val="00AD7287"/>
    <w:rsid w:val="00AE070A"/>
    <w:rsid w:val="00AE101C"/>
    <w:rsid w:val="00AE37E5"/>
    <w:rsid w:val="00AE5EB4"/>
    <w:rsid w:val="00AF0C18"/>
    <w:rsid w:val="00AF47C5"/>
    <w:rsid w:val="00AF5398"/>
    <w:rsid w:val="00AF5AD9"/>
    <w:rsid w:val="00AF5BC1"/>
    <w:rsid w:val="00B01CF2"/>
    <w:rsid w:val="00B02644"/>
    <w:rsid w:val="00B03CD8"/>
    <w:rsid w:val="00B049AF"/>
    <w:rsid w:val="00B07242"/>
    <w:rsid w:val="00B072D9"/>
    <w:rsid w:val="00B07AC4"/>
    <w:rsid w:val="00B10534"/>
    <w:rsid w:val="00B113DB"/>
    <w:rsid w:val="00B11957"/>
    <w:rsid w:val="00B11D8A"/>
    <w:rsid w:val="00B12981"/>
    <w:rsid w:val="00B12E18"/>
    <w:rsid w:val="00B147DD"/>
    <w:rsid w:val="00B150E8"/>
    <w:rsid w:val="00B156FD"/>
    <w:rsid w:val="00B1682A"/>
    <w:rsid w:val="00B21F61"/>
    <w:rsid w:val="00B261F1"/>
    <w:rsid w:val="00B265BC"/>
    <w:rsid w:val="00B305FA"/>
    <w:rsid w:val="00B31FB1"/>
    <w:rsid w:val="00B33952"/>
    <w:rsid w:val="00B33C5E"/>
    <w:rsid w:val="00B342F4"/>
    <w:rsid w:val="00B3433B"/>
    <w:rsid w:val="00B34369"/>
    <w:rsid w:val="00B34DC2"/>
    <w:rsid w:val="00B378E5"/>
    <w:rsid w:val="00B37D40"/>
    <w:rsid w:val="00B37E3F"/>
    <w:rsid w:val="00B41CFB"/>
    <w:rsid w:val="00B42145"/>
    <w:rsid w:val="00B4346D"/>
    <w:rsid w:val="00B440F4"/>
    <w:rsid w:val="00B447A5"/>
    <w:rsid w:val="00B453C2"/>
    <w:rsid w:val="00B4654C"/>
    <w:rsid w:val="00B47293"/>
    <w:rsid w:val="00B50E50"/>
    <w:rsid w:val="00B52120"/>
    <w:rsid w:val="00B54568"/>
    <w:rsid w:val="00B54ABC"/>
    <w:rsid w:val="00B54DDE"/>
    <w:rsid w:val="00B56FBE"/>
    <w:rsid w:val="00B573BD"/>
    <w:rsid w:val="00B60ACF"/>
    <w:rsid w:val="00B6280C"/>
    <w:rsid w:val="00B62B58"/>
    <w:rsid w:val="00B64667"/>
    <w:rsid w:val="00B65149"/>
    <w:rsid w:val="00B66567"/>
    <w:rsid w:val="00B66C1C"/>
    <w:rsid w:val="00B66F52"/>
    <w:rsid w:val="00B66FE5"/>
    <w:rsid w:val="00B671B1"/>
    <w:rsid w:val="00B67391"/>
    <w:rsid w:val="00B6767F"/>
    <w:rsid w:val="00B72880"/>
    <w:rsid w:val="00B758BF"/>
    <w:rsid w:val="00B77EC8"/>
    <w:rsid w:val="00B827A6"/>
    <w:rsid w:val="00B831CE"/>
    <w:rsid w:val="00B86677"/>
    <w:rsid w:val="00B87131"/>
    <w:rsid w:val="00B87E08"/>
    <w:rsid w:val="00B92C1A"/>
    <w:rsid w:val="00B939B1"/>
    <w:rsid w:val="00B96D40"/>
    <w:rsid w:val="00B97386"/>
    <w:rsid w:val="00BA03F2"/>
    <w:rsid w:val="00BA263B"/>
    <w:rsid w:val="00BA42B2"/>
    <w:rsid w:val="00BA58D4"/>
    <w:rsid w:val="00BA5B9E"/>
    <w:rsid w:val="00BA75EF"/>
    <w:rsid w:val="00BA7C9A"/>
    <w:rsid w:val="00BB3810"/>
    <w:rsid w:val="00BB5537"/>
    <w:rsid w:val="00BB5F8F"/>
    <w:rsid w:val="00BB657A"/>
    <w:rsid w:val="00BB6EC0"/>
    <w:rsid w:val="00BC1A4E"/>
    <w:rsid w:val="00BC4DF4"/>
    <w:rsid w:val="00BC54F3"/>
    <w:rsid w:val="00BC5DC7"/>
    <w:rsid w:val="00BC6B8B"/>
    <w:rsid w:val="00BC6F07"/>
    <w:rsid w:val="00BC73D8"/>
    <w:rsid w:val="00BD17E6"/>
    <w:rsid w:val="00BD52D7"/>
    <w:rsid w:val="00BD5AD2"/>
    <w:rsid w:val="00BE22F3"/>
    <w:rsid w:val="00BE5B52"/>
    <w:rsid w:val="00BE7B8D"/>
    <w:rsid w:val="00BF0993"/>
    <w:rsid w:val="00BF10A9"/>
    <w:rsid w:val="00BF1703"/>
    <w:rsid w:val="00BF231C"/>
    <w:rsid w:val="00BF371C"/>
    <w:rsid w:val="00BF3C50"/>
    <w:rsid w:val="00BF51E5"/>
    <w:rsid w:val="00BF74A6"/>
    <w:rsid w:val="00C013AD"/>
    <w:rsid w:val="00C02FC7"/>
    <w:rsid w:val="00C04904"/>
    <w:rsid w:val="00C055C1"/>
    <w:rsid w:val="00C056B3"/>
    <w:rsid w:val="00C103E5"/>
    <w:rsid w:val="00C106F6"/>
    <w:rsid w:val="00C12579"/>
    <w:rsid w:val="00C13319"/>
    <w:rsid w:val="00C13EE9"/>
    <w:rsid w:val="00C15E77"/>
    <w:rsid w:val="00C204BE"/>
    <w:rsid w:val="00C21540"/>
    <w:rsid w:val="00C21906"/>
    <w:rsid w:val="00C21BFA"/>
    <w:rsid w:val="00C21FDD"/>
    <w:rsid w:val="00C22148"/>
    <w:rsid w:val="00C24C8D"/>
    <w:rsid w:val="00C25FE2"/>
    <w:rsid w:val="00C26B53"/>
    <w:rsid w:val="00C273C1"/>
    <w:rsid w:val="00C279B2"/>
    <w:rsid w:val="00C31D23"/>
    <w:rsid w:val="00C32EE1"/>
    <w:rsid w:val="00C32F24"/>
    <w:rsid w:val="00C33E50"/>
    <w:rsid w:val="00C34C20"/>
    <w:rsid w:val="00C35A3E"/>
    <w:rsid w:val="00C42130"/>
    <w:rsid w:val="00C423A4"/>
    <w:rsid w:val="00C4311C"/>
    <w:rsid w:val="00C44BF5"/>
    <w:rsid w:val="00C45209"/>
    <w:rsid w:val="00C4532F"/>
    <w:rsid w:val="00C4649F"/>
    <w:rsid w:val="00C46DCB"/>
    <w:rsid w:val="00C521D6"/>
    <w:rsid w:val="00C55232"/>
    <w:rsid w:val="00C553A4"/>
    <w:rsid w:val="00C554EB"/>
    <w:rsid w:val="00C55A06"/>
    <w:rsid w:val="00C55D03"/>
    <w:rsid w:val="00C601BC"/>
    <w:rsid w:val="00C6329F"/>
    <w:rsid w:val="00C63340"/>
    <w:rsid w:val="00C643F9"/>
    <w:rsid w:val="00C64E95"/>
    <w:rsid w:val="00C663E9"/>
    <w:rsid w:val="00C71372"/>
    <w:rsid w:val="00C715F0"/>
    <w:rsid w:val="00C72410"/>
    <w:rsid w:val="00C7287F"/>
    <w:rsid w:val="00C76930"/>
    <w:rsid w:val="00C80CB8"/>
    <w:rsid w:val="00C819F8"/>
    <w:rsid w:val="00C8248C"/>
    <w:rsid w:val="00C84E33"/>
    <w:rsid w:val="00C86D6F"/>
    <w:rsid w:val="00C905FC"/>
    <w:rsid w:val="00C90E6A"/>
    <w:rsid w:val="00C92D03"/>
    <w:rsid w:val="00C9319C"/>
    <w:rsid w:val="00C9435D"/>
    <w:rsid w:val="00C94DF2"/>
    <w:rsid w:val="00C96741"/>
    <w:rsid w:val="00C9785E"/>
    <w:rsid w:val="00CA16C7"/>
    <w:rsid w:val="00CA2D1B"/>
    <w:rsid w:val="00CA375D"/>
    <w:rsid w:val="00CA662A"/>
    <w:rsid w:val="00CA7AFD"/>
    <w:rsid w:val="00CA7C3C"/>
    <w:rsid w:val="00CB0189"/>
    <w:rsid w:val="00CB0BA2"/>
    <w:rsid w:val="00CB1728"/>
    <w:rsid w:val="00CB1A42"/>
    <w:rsid w:val="00CB1B0C"/>
    <w:rsid w:val="00CB2C0B"/>
    <w:rsid w:val="00CB3C98"/>
    <w:rsid w:val="00CB517D"/>
    <w:rsid w:val="00CC038D"/>
    <w:rsid w:val="00CC08DB"/>
    <w:rsid w:val="00CC39FF"/>
    <w:rsid w:val="00CC3C2F"/>
    <w:rsid w:val="00CC4AC8"/>
    <w:rsid w:val="00CC5233"/>
    <w:rsid w:val="00CC53E4"/>
    <w:rsid w:val="00CC5DE6"/>
    <w:rsid w:val="00CC6E4E"/>
    <w:rsid w:val="00CC6FE8"/>
    <w:rsid w:val="00CC7202"/>
    <w:rsid w:val="00CD2808"/>
    <w:rsid w:val="00CD28BF"/>
    <w:rsid w:val="00CD4092"/>
    <w:rsid w:val="00CD4A20"/>
    <w:rsid w:val="00CD50A1"/>
    <w:rsid w:val="00CD519E"/>
    <w:rsid w:val="00CE0C4F"/>
    <w:rsid w:val="00CE30EA"/>
    <w:rsid w:val="00CE32DB"/>
    <w:rsid w:val="00CF048A"/>
    <w:rsid w:val="00CF155A"/>
    <w:rsid w:val="00CF2947"/>
    <w:rsid w:val="00CF686F"/>
    <w:rsid w:val="00CF6E60"/>
    <w:rsid w:val="00CF7BCA"/>
    <w:rsid w:val="00D008FD"/>
    <w:rsid w:val="00D0321C"/>
    <w:rsid w:val="00D035EC"/>
    <w:rsid w:val="00D048DD"/>
    <w:rsid w:val="00D06371"/>
    <w:rsid w:val="00D06AB1"/>
    <w:rsid w:val="00D072ED"/>
    <w:rsid w:val="00D07A16"/>
    <w:rsid w:val="00D1067E"/>
    <w:rsid w:val="00D10F50"/>
    <w:rsid w:val="00D11272"/>
    <w:rsid w:val="00D126F5"/>
    <w:rsid w:val="00D1489E"/>
    <w:rsid w:val="00D20737"/>
    <w:rsid w:val="00D21E81"/>
    <w:rsid w:val="00D223DE"/>
    <w:rsid w:val="00D25E37"/>
    <w:rsid w:val="00D2661A"/>
    <w:rsid w:val="00D27188"/>
    <w:rsid w:val="00D27582"/>
    <w:rsid w:val="00D27EC4"/>
    <w:rsid w:val="00D32719"/>
    <w:rsid w:val="00D33333"/>
    <w:rsid w:val="00D33457"/>
    <w:rsid w:val="00D352A2"/>
    <w:rsid w:val="00D4162B"/>
    <w:rsid w:val="00D41B03"/>
    <w:rsid w:val="00D43C68"/>
    <w:rsid w:val="00D4514F"/>
    <w:rsid w:val="00D451E2"/>
    <w:rsid w:val="00D45E89"/>
    <w:rsid w:val="00D45E8D"/>
    <w:rsid w:val="00D466AE"/>
    <w:rsid w:val="00D4734F"/>
    <w:rsid w:val="00D4756B"/>
    <w:rsid w:val="00D50FCA"/>
    <w:rsid w:val="00D51BF3"/>
    <w:rsid w:val="00D529FE"/>
    <w:rsid w:val="00D5475E"/>
    <w:rsid w:val="00D60163"/>
    <w:rsid w:val="00D66846"/>
    <w:rsid w:val="00D675FB"/>
    <w:rsid w:val="00D711C1"/>
    <w:rsid w:val="00D71F25"/>
    <w:rsid w:val="00D72A9C"/>
    <w:rsid w:val="00D73059"/>
    <w:rsid w:val="00D77031"/>
    <w:rsid w:val="00D82493"/>
    <w:rsid w:val="00D84941"/>
    <w:rsid w:val="00D84DFD"/>
    <w:rsid w:val="00D84FA1"/>
    <w:rsid w:val="00D851F0"/>
    <w:rsid w:val="00D86DB7"/>
    <w:rsid w:val="00D86E93"/>
    <w:rsid w:val="00D873A1"/>
    <w:rsid w:val="00D926D0"/>
    <w:rsid w:val="00D93030"/>
    <w:rsid w:val="00D950E1"/>
    <w:rsid w:val="00D952A6"/>
    <w:rsid w:val="00D96F85"/>
    <w:rsid w:val="00D97AF4"/>
    <w:rsid w:val="00D97F99"/>
    <w:rsid w:val="00DA1E08"/>
    <w:rsid w:val="00DA24F8"/>
    <w:rsid w:val="00DA28E8"/>
    <w:rsid w:val="00DA2C12"/>
    <w:rsid w:val="00DA38D3"/>
    <w:rsid w:val="00DA3932"/>
    <w:rsid w:val="00DA3AFC"/>
    <w:rsid w:val="00DA64F8"/>
    <w:rsid w:val="00DA6C15"/>
    <w:rsid w:val="00DA6C6F"/>
    <w:rsid w:val="00DB0258"/>
    <w:rsid w:val="00DB0695"/>
    <w:rsid w:val="00DB38EE"/>
    <w:rsid w:val="00DB498B"/>
    <w:rsid w:val="00DB66CA"/>
    <w:rsid w:val="00DB6BCA"/>
    <w:rsid w:val="00DB73F7"/>
    <w:rsid w:val="00DC0321"/>
    <w:rsid w:val="00DC19D1"/>
    <w:rsid w:val="00DC3067"/>
    <w:rsid w:val="00DC3368"/>
    <w:rsid w:val="00DC370B"/>
    <w:rsid w:val="00DC4AE5"/>
    <w:rsid w:val="00DC5173"/>
    <w:rsid w:val="00DC5B90"/>
    <w:rsid w:val="00DC5D32"/>
    <w:rsid w:val="00DD00FF"/>
    <w:rsid w:val="00DD0619"/>
    <w:rsid w:val="00DD07FB"/>
    <w:rsid w:val="00DD25C6"/>
    <w:rsid w:val="00DD28A9"/>
    <w:rsid w:val="00DD35FF"/>
    <w:rsid w:val="00DD44BA"/>
    <w:rsid w:val="00DD4FE5"/>
    <w:rsid w:val="00DD54B0"/>
    <w:rsid w:val="00DD57EE"/>
    <w:rsid w:val="00DD6BCC"/>
    <w:rsid w:val="00DD7FC8"/>
    <w:rsid w:val="00DE0A4B"/>
    <w:rsid w:val="00DE0F03"/>
    <w:rsid w:val="00DE2410"/>
    <w:rsid w:val="00DE2939"/>
    <w:rsid w:val="00DE6E81"/>
    <w:rsid w:val="00DE703F"/>
    <w:rsid w:val="00DE7595"/>
    <w:rsid w:val="00DF1961"/>
    <w:rsid w:val="00DF3FC8"/>
    <w:rsid w:val="00DF44DE"/>
    <w:rsid w:val="00DF50E7"/>
    <w:rsid w:val="00DF5F11"/>
    <w:rsid w:val="00E01138"/>
    <w:rsid w:val="00E02DFB"/>
    <w:rsid w:val="00E030F9"/>
    <w:rsid w:val="00E0311A"/>
    <w:rsid w:val="00E03138"/>
    <w:rsid w:val="00E05098"/>
    <w:rsid w:val="00E06404"/>
    <w:rsid w:val="00E1007E"/>
    <w:rsid w:val="00E11A85"/>
    <w:rsid w:val="00E12495"/>
    <w:rsid w:val="00E15CCD"/>
    <w:rsid w:val="00E17E33"/>
    <w:rsid w:val="00E202EF"/>
    <w:rsid w:val="00E210B5"/>
    <w:rsid w:val="00E22DFB"/>
    <w:rsid w:val="00E23596"/>
    <w:rsid w:val="00E23D99"/>
    <w:rsid w:val="00E2552F"/>
    <w:rsid w:val="00E25B93"/>
    <w:rsid w:val="00E3137A"/>
    <w:rsid w:val="00E32CCF"/>
    <w:rsid w:val="00E34A98"/>
    <w:rsid w:val="00E35D1E"/>
    <w:rsid w:val="00E364F9"/>
    <w:rsid w:val="00E365FA"/>
    <w:rsid w:val="00E36789"/>
    <w:rsid w:val="00E4064A"/>
    <w:rsid w:val="00E416DD"/>
    <w:rsid w:val="00E43669"/>
    <w:rsid w:val="00E44A83"/>
    <w:rsid w:val="00E502C1"/>
    <w:rsid w:val="00E502DD"/>
    <w:rsid w:val="00E50D3A"/>
    <w:rsid w:val="00E51387"/>
    <w:rsid w:val="00E51E68"/>
    <w:rsid w:val="00E52EFD"/>
    <w:rsid w:val="00E5408A"/>
    <w:rsid w:val="00E54A7B"/>
    <w:rsid w:val="00E56800"/>
    <w:rsid w:val="00E60C63"/>
    <w:rsid w:val="00E628BA"/>
    <w:rsid w:val="00E62FF9"/>
    <w:rsid w:val="00E635D6"/>
    <w:rsid w:val="00E639BC"/>
    <w:rsid w:val="00E664CC"/>
    <w:rsid w:val="00E70388"/>
    <w:rsid w:val="00E70F92"/>
    <w:rsid w:val="00E747BF"/>
    <w:rsid w:val="00E74C54"/>
    <w:rsid w:val="00E776DD"/>
    <w:rsid w:val="00E77A03"/>
    <w:rsid w:val="00E820BE"/>
    <w:rsid w:val="00E822E8"/>
    <w:rsid w:val="00E82554"/>
    <w:rsid w:val="00E82606"/>
    <w:rsid w:val="00E83651"/>
    <w:rsid w:val="00E8417A"/>
    <w:rsid w:val="00E846C8"/>
    <w:rsid w:val="00E84957"/>
    <w:rsid w:val="00E84A55"/>
    <w:rsid w:val="00E85BFF"/>
    <w:rsid w:val="00E90391"/>
    <w:rsid w:val="00E906C2"/>
    <w:rsid w:val="00E908D2"/>
    <w:rsid w:val="00E91DF2"/>
    <w:rsid w:val="00E91EDA"/>
    <w:rsid w:val="00E92CAC"/>
    <w:rsid w:val="00E9311F"/>
    <w:rsid w:val="00E934D1"/>
    <w:rsid w:val="00E93D6D"/>
    <w:rsid w:val="00E94AF0"/>
    <w:rsid w:val="00E95A4E"/>
    <w:rsid w:val="00E95D13"/>
    <w:rsid w:val="00E95DD3"/>
    <w:rsid w:val="00E969D5"/>
    <w:rsid w:val="00EA58D1"/>
    <w:rsid w:val="00EA61BC"/>
    <w:rsid w:val="00EA681A"/>
    <w:rsid w:val="00EA735B"/>
    <w:rsid w:val="00EB17DE"/>
    <w:rsid w:val="00EB1E69"/>
    <w:rsid w:val="00EB2086"/>
    <w:rsid w:val="00EB4196"/>
    <w:rsid w:val="00EB5EDF"/>
    <w:rsid w:val="00EB60FE"/>
    <w:rsid w:val="00EB74DB"/>
    <w:rsid w:val="00EC2979"/>
    <w:rsid w:val="00EC2A36"/>
    <w:rsid w:val="00EC5359"/>
    <w:rsid w:val="00EC562A"/>
    <w:rsid w:val="00ED05FA"/>
    <w:rsid w:val="00ED067A"/>
    <w:rsid w:val="00ED0A73"/>
    <w:rsid w:val="00ED0E7A"/>
    <w:rsid w:val="00ED246D"/>
    <w:rsid w:val="00ED2B50"/>
    <w:rsid w:val="00ED4B94"/>
    <w:rsid w:val="00ED684F"/>
    <w:rsid w:val="00ED6B4E"/>
    <w:rsid w:val="00EE0350"/>
    <w:rsid w:val="00EE0719"/>
    <w:rsid w:val="00EE0E80"/>
    <w:rsid w:val="00EE54A6"/>
    <w:rsid w:val="00EE613F"/>
    <w:rsid w:val="00EE7295"/>
    <w:rsid w:val="00EE7869"/>
    <w:rsid w:val="00EF054A"/>
    <w:rsid w:val="00EF1FCA"/>
    <w:rsid w:val="00EF2CC9"/>
    <w:rsid w:val="00EF3235"/>
    <w:rsid w:val="00EF7921"/>
    <w:rsid w:val="00EF7E72"/>
    <w:rsid w:val="00EF7F64"/>
    <w:rsid w:val="00F03753"/>
    <w:rsid w:val="00F06D37"/>
    <w:rsid w:val="00F0773B"/>
    <w:rsid w:val="00F07B9D"/>
    <w:rsid w:val="00F11586"/>
    <w:rsid w:val="00F1183B"/>
    <w:rsid w:val="00F11C9F"/>
    <w:rsid w:val="00F12263"/>
    <w:rsid w:val="00F1409D"/>
    <w:rsid w:val="00F141EC"/>
    <w:rsid w:val="00F14214"/>
    <w:rsid w:val="00F157A9"/>
    <w:rsid w:val="00F20DD1"/>
    <w:rsid w:val="00F21DCD"/>
    <w:rsid w:val="00F25BB6"/>
    <w:rsid w:val="00F26B7E"/>
    <w:rsid w:val="00F27A3B"/>
    <w:rsid w:val="00F30454"/>
    <w:rsid w:val="00F322B6"/>
    <w:rsid w:val="00F33817"/>
    <w:rsid w:val="00F35970"/>
    <w:rsid w:val="00F420D5"/>
    <w:rsid w:val="00F42D4F"/>
    <w:rsid w:val="00F451EA"/>
    <w:rsid w:val="00F45447"/>
    <w:rsid w:val="00F456C6"/>
    <w:rsid w:val="00F4577B"/>
    <w:rsid w:val="00F46496"/>
    <w:rsid w:val="00F46FAB"/>
    <w:rsid w:val="00F474D0"/>
    <w:rsid w:val="00F50179"/>
    <w:rsid w:val="00F515EE"/>
    <w:rsid w:val="00F51B94"/>
    <w:rsid w:val="00F56511"/>
    <w:rsid w:val="00F6194E"/>
    <w:rsid w:val="00F623AC"/>
    <w:rsid w:val="00F6412A"/>
    <w:rsid w:val="00F65893"/>
    <w:rsid w:val="00F66A4A"/>
    <w:rsid w:val="00F70607"/>
    <w:rsid w:val="00F71E22"/>
    <w:rsid w:val="00F72142"/>
    <w:rsid w:val="00F72AE7"/>
    <w:rsid w:val="00F81141"/>
    <w:rsid w:val="00F823B9"/>
    <w:rsid w:val="00F833BA"/>
    <w:rsid w:val="00F84FD0"/>
    <w:rsid w:val="00F859A8"/>
    <w:rsid w:val="00F86631"/>
    <w:rsid w:val="00F86D87"/>
    <w:rsid w:val="00F9103C"/>
    <w:rsid w:val="00F9108B"/>
    <w:rsid w:val="00F91349"/>
    <w:rsid w:val="00F93A8A"/>
    <w:rsid w:val="00F95248"/>
    <w:rsid w:val="00F956A9"/>
    <w:rsid w:val="00F963ED"/>
    <w:rsid w:val="00F966CF"/>
    <w:rsid w:val="00F96968"/>
    <w:rsid w:val="00F96CAE"/>
    <w:rsid w:val="00F97C99"/>
    <w:rsid w:val="00FA4DAC"/>
    <w:rsid w:val="00FA662D"/>
    <w:rsid w:val="00FA73B1"/>
    <w:rsid w:val="00FB0CB9"/>
    <w:rsid w:val="00FB231D"/>
    <w:rsid w:val="00FB45F1"/>
    <w:rsid w:val="00FB4A72"/>
    <w:rsid w:val="00FB538B"/>
    <w:rsid w:val="00FB54E8"/>
    <w:rsid w:val="00FB7054"/>
    <w:rsid w:val="00FC17B7"/>
    <w:rsid w:val="00FC2CB7"/>
    <w:rsid w:val="00FC4090"/>
    <w:rsid w:val="00FC432E"/>
    <w:rsid w:val="00FC45AB"/>
    <w:rsid w:val="00FC55B4"/>
    <w:rsid w:val="00FC6D65"/>
    <w:rsid w:val="00FC7B8F"/>
    <w:rsid w:val="00FD00E6"/>
    <w:rsid w:val="00FD09A1"/>
    <w:rsid w:val="00FD2A7C"/>
    <w:rsid w:val="00FD59EB"/>
    <w:rsid w:val="00FD621D"/>
    <w:rsid w:val="00FD6867"/>
    <w:rsid w:val="00FD7299"/>
    <w:rsid w:val="00FE1DEC"/>
    <w:rsid w:val="00FE1FBE"/>
    <w:rsid w:val="00FE3901"/>
    <w:rsid w:val="00FE39D3"/>
    <w:rsid w:val="00FE4BCE"/>
    <w:rsid w:val="00FE54AE"/>
    <w:rsid w:val="00FE54D9"/>
    <w:rsid w:val="00FE576A"/>
    <w:rsid w:val="00FE7E79"/>
    <w:rsid w:val="00FF0182"/>
    <w:rsid w:val="00FF33A4"/>
    <w:rsid w:val="00FF3E7D"/>
    <w:rsid w:val="00FF5B99"/>
    <w:rsid w:val="00FF730C"/>
    <w:rsid w:val="00FF73F4"/>
    <w:rsid w:val="00FF7CE4"/>
    <w:rsid w:val="00FF7E39"/>
    <w:rsid w:val="05655D8B"/>
    <w:rsid w:val="097E5D15"/>
    <w:rsid w:val="0A445D66"/>
    <w:rsid w:val="0AEA02AF"/>
    <w:rsid w:val="0C68660F"/>
    <w:rsid w:val="0D81726B"/>
    <w:rsid w:val="10A06BB3"/>
    <w:rsid w:val="11841D04"/>
    <w:rsid w:val="15FF5B75"/>
    <w:rsid w:val="16522494"/>
    <w:rsid w:val="18805717"/>
    <w:rsid w:val="1CC61760"/>
    <w:rsid w:val="29AE49BB"/>
    <w:rsid w:val="313C59EB"/>
    <w:rsid w:val="321B1AA4"/>
    <w:rsid w:val="379410F1"/>
    <w:rsid w:val="37F618B4"/>
    <w:rsid w:val="3E015FF2"/>
    <w:rsid w:val="3E393D12"/>
    <w:rsid w:val="3FEF7D2C"/>
    <w:rsid w:val="41D64942"/>
    <w:rsid w:val="434C14BE"/>
    <w:rsid w:val="469220FB"/>
    <w:rsid w:val="49C31C8A"/>
    <w:rsid w:val="4B3727E7"/>
    <w:rsid w:val="4D050879"/>
    <w:rsid w:val="4D3B4D64"/>
    <w:rsid w:val="51856AE2"/>
    <w:rsid w:val="51A31593"/>
    <w:rsid w:val="52A45CCE"/>
    <w:rsid w:val="52F57AE6"/>
    <w:rsid w:val="54172B01"/>
    <w:rsid w:val="55986DE4"/>
    <w:rsid w:val="55A14853"/>
    <w:rsid w:val="5E7174EB"/>
    <w:rsid w:val="63842750"/>
    <w:rsid w:val="63A13DD1"/>
    <w:rsid w:val="6800225C"/>
    <w:rsid w:val="6AED29B5"/>
    <w:rsid w:val="731E338E"/>
    <w:rsid w:val="753E4062"/>
    <w:rsid w:val="760D6315"/>
    <w:rsid w:val="77F7B165"/>
    <w:rsid w:val="77FC4E98"/>
    <w:rsid w:val="7C25628F"/>
    <w:rsid w:val="7EBB1994"/>
    <w:rsid w:val="D427C503"/>
    <w:rsid w:val="DBDD152E"/>
    <w:rsid w:val="F57B00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next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rFonts w:ascii="Times New Roman" w:hAnsi="Times New Roman" w:eastAsia="宋体" w:cs="Times New Roman"/>
      <w:b/>
      <w:bCs/>
      <w:kern w:val="44"/>
      <w:sz w:val="44"/>
      <w:szCs w:val="44"/>
    </w:rPr>
  </w:style>
  <w:style w:type="character" w:customStyle="1" w:styleId="35">
    <w:name w:val="标题 2 Char"/>
    <w:link w:val="3"/>
    <w:autoRedefine/>
    <w:qFormat/>
    <w:uiPriority w:val="0"/>
    <w:rPr>
      <w:rFonts w:ascii="Arial" w:hAnsi="Arial" w:eastAsia="黑体" w:cs="Times New Roman"/>
      <w:b/>
      <w:bCs/>
      <w:sz w:val="32"/>
      <w:szCs w:val="32"/>
    </w:rPr>
  </w:style>
  <w:style w:type="character" w:customStyle="1" w:styleId="36">
    <w:name w:val="标题 3 Char"/>
    <w:link w:val="4"/>
    <w:autoRedefine/>
    <w:qFormat/>
    <w:uiPriority w:val="0"/>
    <w:rPr>
      <w:rFonts w:ascii="Times New Roman" w:hAnsi="Times New Roman" w:eastAsia="宋体" w:cs="Times New Roman"/>
      <w:b/>
      <w:bCs/>
      <w:sz w:val="32"/>
      <w:szCs w:val="32"/>
    </w:rPr>
  </w:style>
  <w:style w:type="character" w:customStyle="1" w:styleId="37">
    <w:name w:val="标题 4 Char"/>
    <w:link w:val="5"/>
    <w:autoRedefine/>
    <w:qFormat/>
    <w:uiPriority w:val="0"/>
    <w:rPr>
      <w:rFonts w:ascii="Arial" w:hAnsi="Arial" w:eastAsia="黑体" w:cs="Times New Roman"/>
      <w:b/>
      <w:bCs/>
      <w:sz w:val="28"/>
      <w:szCs w:val="28"/>
    </w:rPr>
  </w:style>
  <w:style w:type="character" w:customStyle="1" w:styleId="38">
    <w:name w:val="标题 5 Char"/>
    <w:link w:val="6"/>
    <w:autoRedefine/>
    <w:qFormat/>
    <w:uiPriority w:val="0"/>
    <w:rPr>
      <w:rFonts w:ascii="Times New Roman" w:hAnsi="Times New Roman" w:eastAsia="宋体" w:cs="Times New Roman"/>
      <w:b/>
      <w:bCs/>
      <w:sz w:val="28"/>
      <w:szCs w:val="28"/>
    </w:rPr>
  </w:style>
  <w:style w:type="character" w:customStyle="1" w:styleId="39">
    <w:name w:val="标题 6 Char"/>
    <w:link w:val="7"/>
    <w:autoRedefine/>
    <w:qFormat/>
    <w:uiPriority w:val="0"/>
    <w:rPr>
      <w:rFonts w:ascii="Arial" w:hAnsi="Arial" w:eastAsia="黑体" w:cs="Times New Roman"/>
      <w:b/>
      <w:bCs/>
      <w:sz w:val="24"/>
      <w:szCs w:val="24"/>
    </w:rPr>
  </w:style>
  <w:style w:type="character" w:customStyle="1" w:styleId="40">
    <w:name w:val="标题 7 Char"/>
    <w:link w:val="8"/>
    <w:autoRedefine/>
    <w:qFormat/>
    <w:uiPriority w:val="0"/>
    <w:rPr>
      <w:rFonts w:ascii="Times New Roman" w:hAnsi="Times New Roman" w:eastAsia="宋体" w:cs="Times New Roman"/>
      <w:b/>
      <w:bCs/>
      <w:sz w:val="24"/>
      <w:szCs w:val="24"/>
    </w:rPr>
  </w:style>
  <w:style w:type="character" w:customStyle="1" w:styleId="41">
    <w:name w:val="标题 8 Char"/>
    <w:link w:val="9"/>
    <w:autoRedefine/>
    <w:qFormat/>
    <w:uiPriority w:val="0"/>
    <w:rPr>
      <w:rFonts w:ascii="Arial" w:hAnsi="Arial" w:eastAsia="黑体" w:cs="Times New Roman"/>
      <w:sz w:val="24"/>
      <w:szCs w:val="24"/>
    </w:rPr>
  </w:style>
  <w:style w:type="character" w:customStyle="1" w:styleId="42">
    <w:name w:val="标题 9 Char"/>
    <w:link w:val="10"/>
    <w:autoRedefine/>
    <w:qFormat/>
    <w:uiPriority w:val="0"/>
    <w:rPr>
      <w:rFonts w:ascii="Arial" w:hAnsi="Arial" w:eastAsia="黑体" w:cs="Times New Roman"/>
      <w:szCs w:val="21"/>
    </w:rPr>
  </w:style>
  <w:style w:type="character" w:customStyle="1" w:styleId="43">
    <w:name w:val="页眉 Char"/>
    <w:link w:val="18"/>
    <w:autoRedefine/>
    <w:qFormat/>
    <w:uiPriority w:val="99"/>
    <w:rPr>
      <w:rFonts w:ascii="Times New Roman" w:hAnsi="Times New Roman" w:eastAsia="宋体" w:cs="Times New Roman"/>
      <w:sz w:val="18"/>
      <w:szCs w:val="18"/>
    </w:rPr>
  </w:style>
  <w:style w:type="character" w:customStyle="1" w:styleId="44">
    <w:name w:val="页脚 Char"/>
    <w:link w:val="17"/>
    <w:autoRedefine/>
    <w:qFormat/>
    <w:uiPriority w:val="99"/>
    <w:rPr>
      <w:rFonts w:ascii="宋体" w:hAnsi="Times New Roman" w:eastAsia="宋体" w:cs="Times New Roman"/>
      <w:sz w:val="18"/>
      <w:szCs w:val="18"/>
    </w:rPr>
  </w:style>
  <w:style w:type="character" w:customStyle="1" w:styleId="45">
    <w:name w:val="批注框文本 Char"/>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rFonts w:ascii="Times New Roman" w:hAnsi="Times New Roman" w:eastAsia="宋体" w:cs="Times New Roman"/>
      <w:szCs w:val="20"/>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6"/>
    <w:next w:val="56"/>
    <w:link w:val="243"/>
    <w:autoRedefine/>
    <w:qFormat/>
    <w:uiPriority w:val="0"/>
    <w:pPr>
      <w:numPr>
        <w:ilvl w:val="2"/>
      </w:numPr>
      <w:spacing w:before="50" w:after="50"/>
      <w:outlineLvl w:val="1"/>
    </w:pPr>
  </w:style>
  <w:style w:type="paragraph" w:customStyle="1" w:styleId="106">
    <w:name w:val="1章标题"/>
    <w:next w:val="56"/>
    <w:autoRedefine/>
    <w:qFormat/>
    <w:uiPriority w:val="99"/>
    <w:pPr>
      <w:numPr>
        <w:ilvl w:val="1"/>
        <w:numId w:val="2"/>
      </w:numPr>
      <w:spacing w:beforeLines="50" w:afterLines="50"/>
      <w:jc w:val="both"/>
      <w:outlineLvl w:val="0"/>
    </w:pPr>
    <w:rPr>
      <w:rFonts w:ascii="黑体" w:hAnsi="Times New Roman" w:eastAsia="黑体" w:cs="黑体"/>
      <w:sz w:val="21"/>
      <w:szCs w:val="21"/>
      <w:lang w:val="en-US" w:eastAsia="zh-CN" w:bidi="ar-SA"/>
    </w:r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6"/>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6"/>
    <w:autoRedefine/>
    <w:qFormat/>
    <w:uiPriority w:val="0"/>
    <w:pPr>
      <w:outlineLvl w:val="4"/>
    </w:pPr>
  </w:style>
  <w:style w:type="paragraph" w:customStyle="1" w:styleId="131">
    <w:name w:val="附录四级无标题条"/>
    <w:basedOn w:val="130"/>
    <w:next w:val="56"/>
    <w:autoRedefine/>
    <w:qFormat/>
    <w:uiPriority w:val="0"/>
    <w:pPr>
      <w:outlineLvl w:val="5"/>
    </w:pPr>
  </w:style>
  <w:style w:type="paragraph" w:customStyle="1" w:styleId="132">
    <w:name w:val="附录图"/>
    <w:next w:val="56"/>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6"/>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7"/>
    <w:next w:val="56"/>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6"/>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5"/>
    <w:autoRedefine/>
    <w:qFormat/>
    <w:uiPriority w:val="0"/>
    <w:pPr>
      <w:spacing w:beforeLines="0" w:afterLines="0"/>
      <w:outlineLvl w:val="9"/>
    </w:pPr>
    <w:rPr>
      <w:rFonts w:ascii="宋体" w:eastAsia="宋体"/>
    </w:rPr>
  </w:style>
  <w:style w:type="paragraph" w:customStyle="1" w:styleId="164">
    <w:name w:val="标准文件_五级无标题"/>
    <w:basedOn w:val="103"/>
    <w:autoRedefine/>
    <w:qFormat/>
    <w:uiPriority w:val="0"/>
    <w:pPr>
      <w:spacing w:beforeLines="0" w:afterLines="0"/>
      <w:outlineLvl w:val="9"/>
    </w:pPr>
    <w:rPr>
      <w:rFonts w:ascii="宋体" w:eastAsia="宋体"/>
    </w:rPr>
  </w:style>
  <w:style w:type="paragraph" w:customStyle="1" w:styleId="165">
    <w:name w:val="标准文件_三级无标题"/>
    <w:basedOn w:val="94"/>
    <w:autoRedefine/>
    <w:qFormat/>
    <w:uiPriority w:val="0"/>
    <w:pPr>
      <w:spacing w:beforeLines="0" w:afterLines="0"/>
      <w:outlineLvl w:val="9"/>
    </w:pPr>
    <w:rPr>
      <w:rFonts w:ascii="宋体" w:eastAsia="宋体"/>
    </w:rPr>
  </w:style>
  <w:style w:type="paragraph" w:customStyle="1" w:styleId="166">
    <w:name w:val="标准文件_二级无标题"/>
    <w:basedOn w:val="65"/>
    <w:qFormat/>
    <w:uiPriority w:val="0"/>
    <w:pPr>
      <w:spacing w:beforeLines="0" w:afterLines="0"/>
      <w:outlineLvl w:val="9"/>
    </w:pPr>
    <w:rPr>
      <w:rFonts w:ascii="宋体" w:eastAsia="宋体"/>
    </w:rPr>
  </w:style>
  <w:style w:type="paragraph" w:customStyle="1" w:styleId="167">
    <w:name w:val="标准_四级无标题"/>
    <w:basedOn w:val="98"/>
    <w:next w:val="56"/>
    <w:autoRedefine/>
    <w:qFormat/>
    <w:uiPriority w:val="0"/>
    <w:rPr>
      <w:rFonts w:eastAsia="宋体"/>
    </w:rPr>
  </w:style>
  <w:style w:type="paragraph" w:customStyle="1" w:styleId="168">
    <w:name w:val="标准文件_四级无标题"/>
    <w:basedOn w:val="98"/>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1">
    <w:name w:val="标准文件_附录标题"/>
    <w:basedOn w:val="76"/>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6"/>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6"/>
    <w:autoRedefine/>
    <w:qFormat/>
    <w:uiPriority w:val="0"/>
    <w:pPr>
      <w:ind w:firstLine="0" w:firstLineChars="0"/>
      <w:jc w:val="center"/>
    </w:pPr>
    <w:rPr>
      <w:sz w:val="18"/>
    </w:rPr>
  </w:style>
  <w:style w:type="paragraph" w:customStyle="1" w:styleId="180">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6"/>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6"/>
    <w:autoRedefine/>
    <w:qFormat/>
    <w:uiPriority w:val="0"/>
    <w:rPr>
      <w:rFonts w:ascii="宋体" w:hAnsi="Times New Roman"/>
      <w:sz w:val="21"/>
    </w:rPr>
  </w:style>
  <w:style w:type="paragraph" w:customStyle="1" w:styleId="186">
    <w:name w:val="标准文件_表格续"/>
    <w:basedOn w:val="56"/>
    <w:next w:val="56"/>
    <w:autoRedefine/>
    <w:qFormat/>
    <w:uiPriority w:val="0"/>
    <w:pPr>
      <w:jc w:val="center"/>
    </w:pPr>
    <w:rPr>
      <w:rFonts w:ascii="黑体" w:hAnsi="黑体" w:eastAsia="黑体"/>
    </w:rPr>
  </w:style>
  <w:style w:type="character" w:styleId="187">
    <w:name w:val="Placeholder Text"/>
    <w:autoRedefine/>
    <w:semiHidden/>
    <w:qFormat/>
    <w:uiPriority w:val="99"/>
    <w:rPr>
      <w:color w:val="808080"/>
    </w:rPr>
  </w:style>
  <w:style w:type="paragraph" w:customStyle="1" w:styleId="188">
    <w:name w:val="标准文件_二级项2"/>
    <w:basedOn w:val="56"/>
    <w:autoRedefine/>
    <w:qFormat/>
    <w:uiPriority w:val="0"/>
    <w:pPr>
      <w:numPr>
        <w:ilvl w:val="1"/>
        <w:numId w:val="21"/>
      </w:numPr>
      <w:ind w:left="1271" w:hanging="420" w:firstLineChars="0"/>
    </w:pPr>
  </w:style>
  <w:style w:type="paragraph" w:customStyle="1" w:styleId="189">
    <w:name w:val="标准文件_三级项2"/>
    <w:basedOn w:val="56"/>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6"/>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6"/>
    <w:next w:val="56"/>
    <w:autoRedefine/>
    <w:qFormat/>
    <w:uiPriority w:val="0"/>
    <w:pPr>
      <w:ind w:firstLine="420"/>
    </w:pPr>
    <w:rPr>
      <w:rFonts w:ascii="黑体" w:eastAsia="黑体"/>
    </w:rPr>
  </w:style>
  <w:style w:type="character" w:customStyle="1" w:styleId="192">
    <w:name w:val="标准文件_来源"/>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6"/>
    <w:next w:val="56"/>
    <w:autoRedefine/>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6"/>
    <w:next w:val="56"/>
    <w:autoRedefine/>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6"/>
    <w:next w:val="56"/>
    <w:autoRedefine/>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6"/>
    <w:next w:val="56"/>
    <w:autoRedefine/>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6"/>
    <w:next w:val="56"/>
    <w:autoRedefine/>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6"/>
    <w:autoRedefine/>
    <w:qFormat/>
    <w:uiPriority w:val="0"/>
    <w:pPr>
      <w:ind w:left="811" w:firstLine="0" w:firstLineChars="0"/>
    </w:pPr>
    <w:rPr>
      <w:sz w:val="18"/>
    </w:rPr>
  </w:style>
  <w:style w:type="paragraph" w:customStyle="1" w:styleId="207">
    <w:name w:val="标准文件_注X后"/>
    <w:basedOn w:val="56"/>
    <w:autoRedefine/>
    <w:qFormat/>
    <w:uiPriority w:val="0"/>
    <w:pPr>
      <w:ind w:left="811" w:firstLine="0" w:firstLineChars="0"/>
    </w:pPr>
    <w:rPr>
      <w:sz w:val="18"/>
    </w:rPr>
  </w:style>
  <w:style w:type="paragraph" w:customStyle="1" w:styleId="208">
    <w:name w:val="标准文件_示例后"/>
    <w:basedOn w:val="56"/>
    <w:autoRedefine/>
    <w:qFormat/>
    <w:uiPriority w:val="0"/>
    <w:pPr>
      <w:ind w:left="964" w:firstLine="0" w:firstLineChars="0"/>
    </w:pPr>
    <w:rPr>
      <w:sz w:val="18"/>
    </w:rPr>
  </w:style>
  <w:style w:type="paragraph" w:customStyle="1" w:styleId="209">
    <w:name w:val="标准文件_示例X后"/>
    <w:basedOn w:val="56"/>
    <w:link w:val="210"/>
    <w:qFormat/>
    <w:uiPriority w:val="0"/>
    <w:pPr>
      <w:ind w:left="1049" w:firstLine="0" w:firstLineChars="0"/>
    </w:pPr>
    <w:rPr>
      <w:sz w:val="18"/>
    </w:rPr>
  </w:style>
  <w:style w:type="character" w:customStyle="1" w:styleId="210">
    <w:name w:val="标准文件_示例X后 字符"/>
    <w:link w:val="209"/>
    <w:qFormat/>
    <w:uiPriority w:val="0"/>
    <w:rPr>
      <w:rFonts w:ascii="宋体" w:hAnsi="Times New Roman"/>
      <w:sz w:val="18"/>
    </w:rPr>
  </w:style>
  <w:style w:type="paragraph" w:customStyle="1" w:styleId="211">
    <w:name w:val="标准文件_索引项"/>
    <w:basedOn w:val="56"/>
    <w:next w:val="56"/>
    <w:autoRedefine/>
    <w:qFormat/>
    <w:uiPriority w:val="0"/>
    <w:pPr>
      <w:tabs>
        <w:tab w:val="right" w:leader="dot" w:pos="9356"/>
      </w:tabs>
      <w:ind w:left="210" w:hanging="210" w:firstLineChars="0"/>
      <w:jc w:val="left"/>
    </w:pPr>
  </w:style>
  <w:style w:type="paragraph" w:customStyle="1" w:styleId="212">
    <w:name w:val="标准文件_附录一级无标题"/>
    <w:basedOn w:val="78"/>
    <w:autoRedefine/>
    <w:qFormat/>
    <w:uiPriority w:val="0"/>
    <w:pPr>
      <w:spacing w:beforeLines="0" w:afterLines="0" w:line="276" w:lineRule="auto"/>
      <w:outlineLvl w:val="9"/>
    </w:pPr>
    <w:rPr>
      <w:rFonts w:ascii="宋体" w:eastAsia="宋体"/>
    </w:rPr>
  </w:style>
  <w:style w:type="paragraph" w:customStyle="1" w:styleId="213">
    <w:name w:val="标准文件_附录二级无标题"/>
    <w:basedOn w:val="79"/>
    <w:qFormat/>
    <w:uiPriority w:val="0"/>
    <w:pPr>
      <w:spacing w:beforeLines="0" w:afterLines="0" w:line="276" w:lineRule="auto"/>
      <w:outlineLvl w:val="9"/>
    </w:pPr>
    <w:rPr>
      <w:rFonts w:ascii="宋体" w:eastAsia="宋体"/>
    </w:rPr>
  </w:style>
  <w:style w:type="paragraph" w:customStyle="1" w:styleId="214">
    <w:name w:val="标准文件_附录三级无标题"/>
    <w:basedOn w:val="81"/>
    <w:qFormat/>
    <w:uiPriority w:val="0"/>
    <w:pPr>
      <w:spacing w:beforeLines="0" w:afterLines="0" w:line="276" w:lineRule="auto"/>
      <w:outlineLvl w:val="9"/>
    </w:pPr>
    <w:rPr>
      <w:rFonts w:ascii="宋体" w:eastAsia="宋体"/>
    </w:rPr>
  </w:style>
  <w:style w:type="paragraph" w:customStyle="1" w:styleId="215">
    <w:name w:val="标准文件_附录四级无标题"/>
    <w:basedOn w:val="82"/>
    <w:qFormat/>
    <w:uiPriority w:val="0"/>
    <w:pPr>
      <w:spacing w:beforeLines="0" w:afterLines="0" w:line="276" w:lineRule="auto"/>
      <w:outlineLvl w:val="9"/>
    </w:pPr>
    <w:rPr>
      <w:rFonts w:ascii="宋体" w:eastAsia="宋体"/>
    </w:rPr>
  </w:style>
  <w:style w:type="paragraph" w:customStyle="1" w:styleId="216">
    <w:name w:val="标准文件_附录五级无标题"/>
    <w:basedOn w:val="84"/>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6"/>
    <w:autoRedefine/>
    <w:qFormat/>
    <w:uiPriority w:val="0"/>
    <w:pPr>
      <w:spacing w:beforeLines="0" w:afterLines="0" w:line="276" w:lineRule="auto"/>
    </w:pPr>
    <w:rPr>
      <w:rFonts w:ascii="宋体" w:eastAsia="宋体"/>
    </w:rPr>
  </w:style>
  <w:style w:type="paragraph" w:customStyle="1" w:styleId="218">
    <w:name w:val="标准文件_引言二级无标题"/>
    <w:basedOn w:val="202"/>
    <w:next w:val="56"/>
    <w:autoRedefine/>
    <w:qFormat/>
    <w:uiPriority w:val="0"/>
    <w:pPr>
      <w:spacing w:beforeLines="0" w:afterLines="0" w:line="276" w:lineRule="auto"/>
    </w:pPr>
    <w:rPr>
      <w:rFonts w:ascii="宋体" w:eastAsia="宋体"/>
    </w:rPr>
  </w:style>
  <w:style w:type="paragraph" w:customStyle="1" w:styleId="219">
    <w:name w:val="标准文件_引言三级无标题"/>
    <w:basedOn w:val="203"/>
    <w:next w:val="56"/>
    <w:qFormat/>
    <w:uiPriority w:val="0"/>
    <w:pPr>
      <w:spacing w:beforeLines="0" w:afterLines="0" w:line="276" w:lineRule="auto"/>
    </w:pPr>
    <w:rPr>
      <w:rFonts w:ascii="宋体" w:eastAsia="宋体"/>
    </w:rPr>
  </w:style>
  <w:style w:type="paragraph" w:customStyle="1" w:styleId="220">
    <w:name w:val="标准文件_引言四级无标题"/>
    <w:basedOn w:val="204"/>
    <w:next w:val="56"/>
    <w:autoRedefine/>
    <w:qFormat/>
    <w:uiPriority w:val="0"/>
    <w:pPr>
      <w:spacing w:beforeLines="0" w:afterLines="0" w:line="276" w:lineRule="auto"/>
    </w:pPr>
    <w:rPr>
      <w:rFonts w:ascii="宋体" w:eastAsia="宋体"/>
    </w:rPr>
  </w:style>
  <w:style w:type="paragraph" w:customStyle="1" w:styleId="221">
    <w:name w:val="标准文件_引言五级无标题"/>
    <w:basedOn w:val="205"/>
    <w:next w:val="56"/>
    <w:qFormat/>
    <w:uiPriority w:val="0"/>
    <w:pPr>
      <w:spacing w:beforeLines="0" w:afterLines="0" w:line="276" w:lineRule="auto"/>
    </w:pPr>
    <w:rPr>
      <w:rFonts w:ascii="宋体" w:eastAsia="宋体"/>
    </w:rPr>
  </w:style>
  <w:style w:type="paragraph" w:customStyle="1" w:styleId="222">
    <w:name w:val="标准文件_索引标题"/>
    <w:basedOn w:val="63"/>
    <w:next w:val="56"/>
    <w:autoRedefine/>
    <w:qFormat/>
    <w:uiPriority w:val="0"/>
    <w:rPr>
      <w:rFonts w:hAnsi="黑体"/>
    </w:rPr>
  </w:style>
  <w:style w:type="paragraph" w:customStyle="1" w:styleId="223">
    <w:name w:val="标准文件_脚注内容"/>
    <w:basedOn w:val="56"/>
    <w:qFormat/>
    <w:uiPriority w:val="0"/>
    <w:pPr>
      <w:ind w:left="400" w:leftChars="200" w:hanging="200" w:hangingChars="200"/>
    </w:pPr>
    <w:rPr>
      <w:sz w:val="15"/>
    </w:rPr>
  </w:style>
  <w:style w:type="paragraph" w:customStyle="1" w:styleId="224">
    <w:name w:val="标准文件_术语条一"/>
    <w:basedOn w:val="163"/>
    <w:next w:val="56"/>
    <w:autoRedefine/>
    <w:qFormat/>
    <w:uiPriority w:val="0"/>
  </w:style>
  <w:style w:type="paragraph" w:customStyle="1" w:styleId="225">
    <w:name w:val="标准文件_术语条二"/>
    <w:basedOn w:val="166"/>
    <w:next w:val="56"/>
    <w:autoRedefine/>
    <w:qFormat/>
    <w:uiPriority w:val="0"/>
  </w:style>
  <w:style w:type="paragraph" w:customStyle="1" w:styleId="226">
    <w:name w:val="标准文件_术语条三"/>
    <w:basedOn w:val="165"/>
    <w:next w:val="56"/>
    <w:autoRedefine/>
    <w:qFormat/>
    <w:uiPriority w:val="0"/>
  </w:style>
  <w:style w:type="paragraph" w:customStyle="1" w:styleId="227">
    <w:name w:val="标准文件_术语条四"/>
    <w:basedOn w:val="168"/>
    <w:next w:val="56"/>
    <w:autoRedefine/>
    <w:qFormat/>
    <w:uiPriority w:val="0"/>
  </w:style>
  <w:style w:type="paragraph" w:customStyle="1" w:styleId="228">
    <w:name w:val="标准文件_术语条五"/>
    <w:basedOn w:val="164"/>
    <w:next w:val="56"/>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autoRedefine/>
    <w:qFormat/>
    <w:uiPriority w:val="0"/>
    <w:rPr>
      <w:rFonts w:ascii="黑体" w:eastAsia="黑体"/>
      <w:spacing w:val="85"/>
      <w:w w:val="100"/>
      <w:position w:val="3"/>
      <w:sz w:val="28"/>
      <w:szCs w:val="28"/>
    </w:rPr>
  </w:style>
  <w:style w:type="character" w:customStyle="1" w:styleId="231">
    <w:name w:val="段 Char"/>
    <w:link w:val="232"/>
    <w:autoRedefine/>
    <w:qFormat/>
    <w:locked/>
    <w:uiPriority w:val="0"/>
    <w:rPr>
      <w:rFonts w:ascii="宋体" w:hAnsi="宋体"/>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paragraph" w:customStyle="1" w:styleId="233">
    <w:name w:val="一级条标题"/>
    <w:basedOn w:val="105"/>
    <w:next w:val="232"/>
    <w:link w:val="242"/>
    <w:autoRedefine/>
    <w:qFormat/>
    <w:uiPriority w:val="0"/>
    <w:pPr>
      <w:numPr>
        <w:ilvl w:val="0"/>
        <w:numId w:val="0"/>
      </w:numPr>
      <w:spacing w:before="156" w:after="156"/>
    </w:pPr>
    <w:rPr>
      <w:rFonts w:ascii="Times New Roman"/>
    </w:rPr>
  </w:style>
  <w:style w:type="paragraph" w:customStyle="1" w:styleId="234">
    <w:name w:val="章标题"/>
    <w:basedOn w:val="106"/>
    <w:next w:val="232"/>
    <w:autoRedefine/>
    <w:qFormat/>
    <w:uiPriority w:val="0"/>
    <w:pPr>
      <w:spacing w:beforeLines="100" w:afterLines="100"/>
    </w:pPr>
    <w:rPr>
      <w:rFonts w:ascii="Times New Roman"/>
    </w:rPr>
  </w:style>
  <w:style w:type="paragraph" w:customStyle="1" w:styleId="235">
    <w:name w:val="二级条标题"/>
    <w:basedOn w:val="65"/>
    <w:next w:val="232"/>
    <w:autoRedefine/>
    <w:qFormat/>
    <w:uiPriority w:val="0"/>
    <w:rPr>
      <w:rFonts w:ascii="Times New Roman"/>
    </w:rPr>
  </w:style>
  <w:style w:type="paragraph" w:customStyle="1" w:styleId="236">
    <w:name w:val="目次、前言、引言"/>
    <w:basedOn w:val="25"/>
    <w:next w:val="232"/>
    <w:qFormat/>
    <w:uiPriority w:val="0"/>
    <w:pPr>
      <w:spacing w:before="851" w:after="680" w:line="240" w:lineRule="auto"/>
    </w:pPr>
    <w:rPr>
      <w:rFonts w:eastAsia="黑体"/>
      <w:b w:val="0"/>
    </w:rPr>
  </w:style>
  <w:style w:type="paragraph" w:customStyle="1" w:styleId="237">
    <w:name w:val="术语"/>
    <w:basedOn w:val="232"/>
    <w:next w:val="232"/>
    <w:autoRedefine/>
    <w:qFormat/>
    <w:uiPriority w:val="0"/>
    <w:rPr>
      <w:rFonts w:eastAsia="黑体"/>
    </w:rPr>
  </w:style>
  <w:style w:type="paragraph" w:customStyle="1" w:styleId="238">
    <w:name w:val="正文表标题"/>
    <w:basedOn w:val="239"/>
    <w:next w:val="232"/>
    <w:autoRedefine/>
    <w:qFormat/>
    <w:uiPriority w:val="0"/>
    <w:pPr>
      <w:numPr>
        <w:numId w:val="0"/>
      </w:numPr>
    </w:pPr>
  </w:style>
  <w:style w:type="paragraph" w:customStyle="1" w:styleId="239">
    <w:name w:val="正文图题"/>
    <w:basedOn w:val="23"/>
    <w:next w:val="232"/>
    <w:qFormat/>
    <w:uiPriority w:val="0"/>
    <w:pPr>
      <w:numPr>
        <w:ilvl w:val="0"/>
        <w:numId w:val="32"/>
      </w:numPr>
      <w:spacing w:beforeLines="50" w:afterLines="50"/>
      <w:ind w:left="0" w:firstLine="0"/>
      <w:jc w:val="center"/>
    </w:pPr>
    <w:rPr>
      <w:rFonts w:ascii="Times New Roman" w:hAnsi="Times New Roman" w:eastAsia="黑体"/>
    </w:rPr>
  </w:style>
  <w:style w:type="paragraph" w:customStyle="1" w:styleId="240">
    <w:name w:val="注"/>
    <w:basedOn w:val="232"/>
    <w:next w:val="232"/>
    <w:qFormat/>
    <w:uiPriority w:val="0"/>
    <w:pPr>
      <w:ind w:firstLine="360"/>
    </w:pPr>
    <w:rPr>
      <w:rFonts w:eastAsia="黑体"/>
      <w:sz w:val="18"/>
      <w:szCs w:val="18"/>
    </w:rPr>
  </w:style>
  <w:style w:type="paragraph" w:styleId="241">
    <w:name w:val="List Paragraph"/>
    <w:basedOn w:val="1"/>
    <w:autoRedefine/>
    <w:qFormat/>
    <w:uiPriority w:val="99"/>
    <w:pPr>
      <w:adjustRightInd/>
      <w:spacing w:line="240" w:lineRule="auto"/>
      <w:ind w:firstLine="420" w:firstLineChars="200"/>
    </w:pPr>
  </w:style>
  <w:style w:type="character" w:customStyle="1" w:styleId="242">
    <w:name w:val="一级条标题 字符"/>
    <w:link w:val="233"/>
    <w:autoRedefine/>
    <w:qFormat/>
    <w:uiPriority w:val="0"/>
    <w:rPr>
      <w:rFonts w:ascii="Times New Roman" w:hAnsi="Times New Roman" w:eastAsia="黑体" w:cs="黑体"/>
      <w:sz w:val="21"/>
      <w:szCs w:val="21"/>
    </w:rPr>
  </w:style>
  <w:style w:type="character" w:customStyle="1" w:styleId="243">
    <w:name w:val="标准文件_一级条标题 字符"/>
    <w:link w:val="105"/>
    <w:qFormat/>
    <w:uiPriority w:val="0"/>
    <w:rPr>
      <w:rFonts w:ascii="黑体" w:hAnsi="Times New Roman" w:eastAsia="黑体" w:cs="黑体"/>
      <w:sz w:val="21"/>
      <w:szCs w:val="21"/>
    </w:rPr>
  </w:style>
  <w:style w:type="paragraph" w:customStyle="1" w:styleId="244">
    <w:name w:val="字母列项"/>
    <w:basedOn w:val="241"/>
    <w:next w:val="232"/>
    <w:autoRedefine/>
    <w:qFormat/>
    <w:uiPriority w:val="0"/>
    <w:pPr>
      <w:ind w:firstLine="0" w:firstLineChars="0"/>
      <w:jc w:val="left"/>
    </w:pPr>
    <w:rPr>
      <w:rFonts w:ascii="Times New Roman" w:hAnsi="Times New Roman" w:cs="宋体"/>
      <w:kern w:val="0"/>
    </w:rPr>
  </w:style>
  <w:style w:type="paragraph" w:customStyle="1" w:styleId="245">
    <w:name w:val="目次、标准名称标题"/>
    <w:basedOn w:val="1"/>
    <w:next w:val="232"/>
    <w:autoRedefine/>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46">
    <w:name w:val="附录表标号"/>
    <w:basedOn w:val="1"/>
    <w:next w:val="232"/>
    <w:uiPriority w:val="0"/>
    <w:pPr>
      <w:tabs>
        <w:tab w:val="left" w:pos="851"/>
      </w:tabs>
      <w:adjustRightInd/>
      <w:spacing w:line="14" w:lineRule="exact"/>
      <w:ind w:left="811" w:hanging="448"/>
      <w:jc w:val="center"/>
      <w:outlineLvl w:val="0"/>
    </w:pPr>
    <w:rPr>
      <w:rFonts w:ascii="Times New Roman" w:hAnsi="Times New Roman"/>
      <w:color w:val="FFFFFF"/>
      <w:szCs w:val="24"/>
    </w:rPr>
  </w:style>
  <w:style w:type="paragraph" w:customStyle="1" w:styleId="247">
    <w:name w:val="附录标识"/>
    <w:basedOn w:val="1"/>
    <w:next w:val="232"/>
    <w:autoRedefine/>
    <w:qFormat/>
    <w:uiPriority w:val="0"/>
    <w:pPr>
      <w:keepNext/>
      <w:widowControl/>
      <w:shd w:val="clear" w:color="FFFFFF" w:fill="FFFFFF"/>
      <w:tabs>
        <w:tab w:val="left" w:pos="360"/>
        <w:tab w:val="left" w:pos="6405"/>
      </w:tabs>
      <w:adjustRightInd/>
      <w:spacing w:before="640" w:after="280" w:line="240" w:lineRule="auto"/>
      <w:ind w:left="1588"/>
      <w:jc w:val="center"/>
      <w:outlineLvl w:val="0"/>
    </w:pPr>
    <w:rPr>
      <w:rFonts w:ascii="黑体" w:hAnsi="Times New Roman" w:eastAsia="黑体"/>
      <w:kern w:val="0"/>
      <w:szCs w:val="20"/>
    </w:rPr>
  </w:style>
  <w:style w:type="paragraph" w:customStyle="1" w:styleId="248">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jpeg"/><Relationship Id="rId2" Type="http://schemas.openxmlformats.org/officeDocument/2006/relationships/settings" Target="settings.xml"/><Relationship Id="rId19" Type="http://schemas.openxmlformats.org/officeDocument/2006/relationships/image" Target="media/image6.jpeg"/><Relationship Id="rId18" Type="http://schemas.openxmlformats.org/officeDocument/2006/relationships/image" Target="media/image5.jpeg"/><Relationship Id="rId17" Type="http://schemas.openxmlformats.org/officeDocument/2006/relationships/image" Target="media/image4.jpeg"/><Relationship Id="rId16" Type="http://schemas.openxmlformats.org/officeDocument/2006/relationships/image" Target="media/image3.jpeg"/><Relationship Id="rId15" Type="http://schemas.openxmlformats.org/officeDocument/2006/relationships/image" Target="media/image2.jpe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6E8D2FBA5B4419B540004E27F5FDFC"/>
        <w:style w:val=""/>
        <w:category>
          <w:name w:val="常规"/>
          <w:gallery w:val="placeholder"/>
        </w:category>
        <w:types>
          <w:type w:val="bbPlcHdr"/>
        </w:types>
        <w:behaviors>
          <w:behavior w:val="content"/>
        </w:behaviors>
        <w:description w:val=""/>
        <w:guid w:val="{64DB799C-1D8E-471A-95D5-B194E9224B01}"/>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D5C0F"/>
    <w:rsid w:val="005271C3"/>
    <w:rsid w:val="00562E11"/>
    <w:rsid w:val="00640424"/>
    <w:rsid w:val="00BA0CA1"/>
    <w:rsid w:val="00FD5C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44474449D95148C8BF7A1673AE9D8CF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56E8D2FBA5B4419B540004E27F5FDF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C22FD7-F394-4768-AB09-18C821B4B415}">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10</Pages>
  <Words>4215</Words>
  <Characters>4804</Characters>
  <Lines>45</Lines>
  <Paragraphs>12</Paragraphs>
  <TotalTime>52</TotalTime>
  <ScaleCrop>false</ScaleCrop>
  <LinksUpToDate>false</LinksUpToDate>
  <CharactersWithSpaces>4930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2024-04-08T09:50:00Z</dcterms:created>
  <dc:creator>Administrator</dc:creator>
  <dc:description>&lt;config cover="true" show_menu="true" version="1.0.0" doctype="SDKXY"&gt;_x000d_
&lt;/config&gt;</dc:description>
  <cp:lastModifiedBy>我要的飞翔</cp:lastModifiedBy>
  <cp:lastPrinted>2024-08-02T04:42:19Z</cp:lastPrinted>
  <dcterms:modified xsi:type="dcterms:W3CDTF">2024-08-02T04:47:06Z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E68E5D0A0B914A37829705CE4D143EBC_13</vt:lpwstr>
  </property>
</Properties>
</file>